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68439689" w:displacedByCustomXml="next"/>
    <w:sdt>
      <w:sdtPr>
        <w:id w:val="-1804762644"/>
        <w:docPartObj>
          <w:docPartGallery w:val="Cover Pages"/>
          <w:docPartUnique/>
        </w:docPartObj>
      </w:sdtPr>
      <w:sdtEndPr/>
      <w:sdtContent>
        <w:p w:rsidR="00DD2B8B" w:rsidRDefault="00DD2B8B" w:rsidP="00C54AD8">
          <w:pPr>
            <w:jc w:val="right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cs-CZ"/>
            </w:rPr>
          </w:pPr>
          <w:r w:rsidRPr="00C54AD8">
            <w:rPr>
              <w:rFonts w:asciiTheme="majorHAnsi" w:eastAsiaTheme="majorEastAsia" w:hAnsiTheme="majorHAnsi" w:cstheme="majorBidi"/>
              <w:b/>
              <w:bCs/>
              <w:noProof/>
              <w:color w:val="365F91" w:themeColor="accent1" w:themeShade="BF"/>
              <w:sz w:val="40"/>
              <w:szCs w:val="40"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F1BE969" wp14:editId="2CD6254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7686675"/>
                    <wp:effectExtent l="38100" t="0" r="40005" b="47625"/>
                    <wp:wrapNone/>
                    <wp:docPr id="407" name="Skupin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1765" cy="7686675"/>
                              <a:chOff x="0" y="2294"/>
                              <a:chExt cx="12240" cy="12105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7" y="3416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2" y="3633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0D64DA" w:rsidRDefault="000D64DA">
                                  <w:pPr>
                                    <w:jc w:val="right"/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t>20</w:t>
                                  </w:r>
                                  <w:sdt>
                                    <w:sdtPr>
                                      <w:rPr>
                                        <w:sz w:val="96"/>
                                        <w:szCs w:val="96"/>
                                        <w14:numForm w14:val="oldStyle"/>
                                      </w:rPr>
                                      <w:alias w:val="Rok"/>
                                      <w:id w:val="173157220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7-09-13T00:00:00Z">
                                        <w:dateFormat w:val="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17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56"/>
                                      <w:szCs w:val="56"/>
                                    </w:rPr>
                                    <w:alias w:val="Název"/>
                                    <w:id w:val="1381978879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D64DA" w:rsidRPr="00D62959" w:rsidRDefault="000D64DA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  <w:t xml:space="preserve">Podpora Národní </w:t>
                                      </w:r>
                                      <w:r w:rsidRPr="00310CD0"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  <w:t xml:space="preserve">RIS3 strategie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  <w:t>z </w:t>
                                      </w:r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  <w:t>OP</w:t>
                                      </w:r>
                                      <w:proofErr w:type="gramEnd"/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56"/>
                                          <w:szCs w:val="56"/>
                                        </w:rPr>
                                        <w:t> PIK (2015 - 10.2017)</w:t>
                                      </w:r>
                                    </w:p>
                                  </w:sdtContent>
                                </w:sdt>
                                <w:p w:rsidR="000D64DA" w:rsidRDefault="000D64D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D64DA" w:rsidRPr="00310CD0" w:rsidRDefault="000D64D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Analýza</w:t>
                                  </w:r>
                                </w:p>
                                <w:p w:rsidR="000D64DA" w:rsidRDefault="000D64D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Podtitul"/>
                                    <w:id w:val="1767806823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D64DA" w:rsidRDefault="000D64DA" w:rsidP="00310CD0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0D64DA" w:rsidRDefault="000D64D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Skupina 3" o:spid="_x0000_s1026" style="position:absolute;left:0;text-align:left;margin-left:0;margin-top:0;width:611.95pt;height:605.25pt;z-index:251659264;mso-width-percent:1000;mso-position-horizontal:center;mso-position-horizontal-relative:page;mso-position-vertical:center;mso-position-vertical-relative:margin;mso-width-percent:1000;mso-height-relative:margin" coordorigin=",2294" coordsize="12240,1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087;top:3416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92;top:3633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6" o:spid="_x0000_s1038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p w:rsidR="000D64DA" w:rsidRDefault="000D64DA">
                            <w:pPr>
                              <w:jc w:val="right"/>
                              <w:rPr>
                                <w:sz w:val="96"/>
                                <w:szCs w:val="96"/>
                                <w14:numForm w14:val="oldStyl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>20</w:t>
                            </w:r>
                            <w:sdt>
                              <w:sdtPr>
                                <w:rPr>
                                  <w:sz w:val="96"/>
                                  <w:szCs w:val="96"/>
                                  <w14:numForm w14:val="oldStyle"/>
                                </w:rPr>
                                <w:alias w:val="Rok"/>
                                <w:id w:val="173157220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7-09-13T00:00:00Z">
                                  <w:dateFormat w:val="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17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17" o:spid="_x0000_s1039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alias w:val="Název"/>
                              <w:id w:val="1381978879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0D64DA" w:rsidRPr="00D62959" w:rsidRDefault="000D64DA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  <w:t xml:space="preserve">Podpora Národní </w:t>
                                </w:r>
                                <w:r w:rsidRPr="00310CD0"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  <w:t xml:space="preserve">RIS3 strategie </w:t>
                                </w: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z </w:t>
                                </w:r>
                                <w:proofErr w:type="gramStart"/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OP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56"/>
                                    <w:szCs w:val="56"/>
                                  </w:rPr>
                                  <w:t> PIK (2015 - 10.2017)</w:t>
                                </w:r>
                              </w:p>
                            </w:sdtContent>
                          </w:sdt>
                          <w:p w:rsidR="000D64DA" w:rsidRDefault="000D64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D64DA" w:rsidRPr="00310CD0" w:rsidRDefault="000D64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Analýza</w:t>
                            </w:r>
                          </w:p>
                          <w:p w:rsidR="000D64DA" w:rsidRDefault="000D64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Podtitul"/>
                              <w:id w:val="1767806823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0D64DA" w:rsidRDefault="000D64DA" w:rsidP="00310CD0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0D64DA" w:rsidRDefault="000D64D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C54AD8" w:rsidRPr="00C54AD8">
            <w:rPr>
              <w:b/>
              <w:sz w:val="40"/>
              <w:szCs w:val="40"/>
            </w:rPr>
            <w:t>Úřad vlády ČR</w:t>
          </w:r>
          <w:r>
            <w:br w:type="page"/>
          </w:r>
        </w:p>
      </w:sdtContent>
    </w:sdt>
    <w:sdt>
      <w:sdtPr>
        <w:id w:val="210227581"/>
        <w:docPartObj>
          <w:docPartGallery w:val="Table of Contents"/>
          <w:docPartUnique/>
        </w:docPartObj>
      </w:sdtPr>
      <w:sdtEndPr/>
      <w:sdtContent>
        <w:p w:rsidR="00595CFE" w:rsidRPr="00595CFE" w:rsidRDefault="00595CFE" w:rsidP="00595CFE">
          <w:pPr>
            <w:pStyle w:val="Bezmezer"/>
            <w:ind w:left="1276" w:hanging="1276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95CFE">
            <w:rPr>
              <w:rFonts w:ascii="Arial" w:hAnsi="Arial" w:cs="Arial"/>
              <w:b/>
              <w:sz w:val="24"/>
              <w:szCs w:val="24"/>
              <w:shd w:val="clear" w:color="auto" w:fill="D9D9D9" w:themeFill="background1" w:themeFillShade="D9"/>
            </w:rPr>
            <w:t>Zdroje dat:</w:t>
          </w:r>
        </w:p>
        <w:p w:rsidR="00595CFE" w:rsidRDefault="00595CFE" w:rsidP="007624BB">
          <w:pPr>
            <w:pStyle w:val="Bezmezer"/>
            <w:ind w:left="1276" w:hanging="1276"/>
          </w:pPr>
        </w:p>
        <w:p w:rsidR="009741BE" w:rsidRDefault="009741BE" w:rsidP="007624BB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Program</w:t>
          </w:r>
          <w:r w:rsidR="007624BB"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r w:rsidR="007624BB" w:rsidRPr="00D62959">
            <w:rPr>
              <w:rFonts w:ascii="Arial" w:hAnsi="Arial" w:cs="Arial"/>
              <w:sz w:val="24"/>
              <w:szCs w:val="24"/>
            </w:rPr>
            <w:t>OPPI</w:t>
          </w:r>
          <w:r w:rsidR="007624BB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9741BE" w:rsidRDefault="009741BE" w:rsidP="007624BB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0724C1">
            <w:rPr>
              <w:rFonts w:ascii="Arial" w:hAnsi="Arial" w:cs="Arial"/>
              <w:b/>
              <w:sz w:val="24"/>
              <w:szCs w:val="24"/>
            </w:rPr>
            <w:t>bdobí</w:t>
          </w:r>
          <w:r>
            <w:rPr>
              <w:rFonts w:ascii="Arial" w:hAnsi="Arial" w:cs="Arial"/>
              <w:b/>
              <w:sz w:val="24"/>
              <w:szCs w:val="24"/>
            </w:rPr>
            <w:t>:</w:t>
          </w:r>
          <w:r w:rsidRPr="009741BE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>2007-2014</w:t>
          </w:r>
        </w:p>
        <w:p w:rsidR="009741BE" w:rsidRDefault="009741BE" w:rsidP="007624BB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 w:rsidRPr="000724C1">
            <w:rPr>
              <w:rFonts w:ascii="Arial" w:hAnsi="Arial" w:cs="Arial"/>
              <w:b/>
              <w:sz w:val="24"/>
              <w:szCs w:val="24"/>
            </w:rPr>
            <w:t>Počet projektů</w:t>
          </w:r>
          <w:r>
            <w:rPr>
              <w:rFonts w:ascii="Arial" w:hAnsi="Arial" w:cs="Arial"/>
              <w:sz w:val="24"/>
              <w:szCs w:val="24"/>
            </w:rPr>
            <w:t xml:space="preserve">: </w:t>
          </w:r>
          <w:r w:rsidR="00FE0026">
            <w:rPr>
              <w:rFonts w:ascii="Arial" w:hAnsi="Arial" w:cs="Arial"/>
              <w:sz w:val="24"/>
              <w:szCs w:val="24"/>
            </w:rPr>
            <w:t>4080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</w:p>
        <w:p w:rsidR="009741BE" w:rsidRDefault="009741BE" w:rsidP="009741BE">
          <w:pPr>
            <w:pStyle w:val="Bezmezer"/>
            <w:ind w:left="1701" w:hanging="170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Stav</w:t>
          </w:r>
          <w:r w:rsidRPr="000724C1">
            <w:rPr>
              <w:rFonts w:ascii="Arial" w:hAnsi="Arial" w:cs="Arial"/>
              <w:b/>
              <w:sz w:val="24"/>
              <w:szCs w:val="24"/>
            </w:rPr>
            <w:t xml:space="preserve"> projektů</w:t>
          </w:r>
          <w:r>
            <w:rPr>
              <w:rFonts w:ascii="Arial" w:hAnsi="Arial" w:cs="Arial"/>
              <w:sz w:val="24"/>
              <w:szCs w:val="24"/>
            </w:rPr>
            <w:t>: podpořené projekty</w:t>
          </w:r>
        </w:p>
        <w:p w:rsidR="009741BE" w:rsidRDefault="009741BE" w:rsidP="007624BB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Program: </w:t>
          </w:r>
          <w:r w:rsidRPr="00D62959">
            <w:rPr>
              <w:rFonts w:ascii="Arial" w:hAnsi="Arial" w:cs="Arial"/>
              <w:sz w:val="24"/>
              <w:szCs w:val="24"/>
            </w:rPr>
            <w:t>OPPI</w:t>
          </w:r>
          <w:r>
            <w:rPr>
              <w:rFonts w:ascii="Arial" w:hAnsi="Arial" w:cs="Arial"/>
              <w:sz w:val="24"/>
              <w:szCs w:val="24"/>
            </w:rPr>
            <w:t>K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0724C1">
            <w:rPr>
              <w:rFonts w:ascii="Arial" w:hAnsi="Arial" w:cs="Arial"/>
              <w:b/>
              <w:sz w:val="24"/>
              <w:szCs w:val="24"/>
            </w:rPr>
            <w:t>bdobí</w:t>
          </w:r>
          <w:r>
            <w:rPr>
              <w:rFonts w:ascii="Arial" w:hAnsi="Arial" w:cs="Arial"/>
              <w:b/>
              <w:sz w:val="24"/>
              <w:szCs w:val="24"/>
            </w:rPr>
            <w:t>:</w:t>
          </w:r>
          <w:r w:rsidRPr="009741BE">
            <w:rPr>
              <w:rFonts w:ascii="Arial" w:hAnsi="Arial" w:cs="Arial"/>
              <w:sz w:val="24"/>
              <w:szCs w:val="24"/>
            </w:rPr>
            <w:t xml:space="preserve"> </w:t>
          </w:r>
          <w:r w:rsidRPr="000724C1">
            <w:rPr>
              <w:rFonts w:ascii="Arial" w:hAnsi="Arial" w:cs="Arial"/>
              <w:sz w:val="24"/>
              <w:szCs w:val="24"/>
            </w:rPr>
            <w:t>2015-05.2017</w:t>
          </w: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 w:rsidRPr="000724C1">
            <w:rPr>
              <w:rFonts w:ascii="Arial" w:hAnsi="Arial" w:cs="Arial"/>
              <w:b/>
              <w:sz w:val="24"/>
              <w:szCs w:val="24"/>
            </w:rPr>
            <w:t>Počet projektů</w:t>
          </w:r>
          <w:r>
            <w:rPr>
              <w:rFonts w:ascii="Arial" w:hAnsi="Arial" w:cs="Arial"/>
              <w:sz w:val="24"/>
              <w:szCs w:val="24"/>
            </w:rPr>
            <w:t xml:space="preserve">: 944 </w:t>
          </w:r>
        </w:p>
        <w:p w:rsidR="00FE0026" w:rsidRDefault="00FE0026" w:rsidP="00FE0026">
          <w:pPr>
            <w:pStyle w:val="Bezmezer"/>
            <w:ind w:left="1701" w:hanging="170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Stav</w:t>
          </w:r>
          <w:r w:rsidRPr="000724C1">
            <w:rPr>
              <w:rFonts w:ascii="Arial" w:hAnsi="Arial" w:cs="Arial"/>
              <w:b/>
              <w:sz w:val="24"/>
              <w:szCs w:val="24"/>
            </w:rPr>
            <w:t xml:space="preserve"> projektů</w:t>
          </w:r>
          <w:r>
            <w:rPr>
              <w:rFonts w:ascii="Arial" w:hAnsi="Arial" w:cs="Arial"/>
              <w:sz w:val="24"/>
              <w:szCs w:val="24"/>
            </w:rPr>
            <w:t xml:space="preserve">: </w:t>
          </w:r>
          <w:r w:rsidRPr="000724C1">
            <w:rPr>
              <w:rFonts w:ascii="Arial" w:hAnsi="Arial" w:cs="Arial"/>
              <w:sz w:val="24"/>
              <w:szCs w:val="24"/>
            </w:rPr>
            <w:t xml:space="preserve">projekty s vydaným </w:t>
          </w:r>
          <w:r>
            <w:rPr>
              <w:rFonts w:ascii="Arial" w:hAnsi="Arial" w:cs="Arial"/>
              <w:sz w:val="24"/>
              <w:szCs w:val="24"/>
            </w:rPr>
            <w:t>právním aktem</w:t>
          </w:r>
          <w:r w:rsidRPr="000724C1">
            <w:rPr>
              <w:rFonts w:ascii="Arial" w:hAnsi="Arial" w:cs="Arial"/>
              <w:sz w:val="24"/>
              <w:szCs w:val="24"/>
            </w:rPr>
            <w:t xml:space="preserve"> a stavy následné</w:t>
          </w:r>
        </w:p>
        <w:p w:rsidR="00FE0026" w:rsidRDefault="00FE0026" w:rsidP="007624BB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Program: </w:t>
          </w:r>
          <w:r w:rsidRPr="00D62959">
            <w:rPr>
              <w:rFonts w:ascii="Arial" w:hAnsi="Arial" w:cs="Arial"/>
              <w:sz w:val="24"/>
              <w:szCs w:val="24"/>
            </w:rPr>
            <w:t>OPPI</w:t>
          </w:r>
          <w:r>
            <w:rPr>
              <w:rFonts w:ascii="Arial" w:hAnsi="Arial" w:cs="Arial"/>
              <w:sz w:val="24"/>
              <w:szCs w:val="24"/>
            </w:rPr>
            <w:t>K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0724C1">
            <w:rPr>
              <w:rFonts w:ascii="Arial" w:hAnsi="Arial" w:cs="Arial"/>
              <w:b/>
              <w:sz w:val="24"/>
              <w:szCs w:val="24"/>
            </w:rPr>
            <w:t>bdobí</w:t>
          </w:r>
          <w:r>
            <w:rPr>
              <w:rFonts w:ascii="Arial" w:hAnsi="Arial" w:cs="Arial"/>
              <w:b/>
              <w:sz w:val="24"/>
              <w:szCs w:val="24"/>
            </w:rPr>
            <w:t>:</w:t>
          </w:r>
          <w:r w:rsidRPr="009741BE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>2015-10</w:t>
          </w:r>
          <w:r w:rsidRPr="000724C1">
            <w:rPr>
              <w:rFonts w:ascii="Arial" w:hAnsi="Arial" w:cs="Arial"/>
              <w:sz w:val="24"/>
              <w:szCs w:val="24"/>
            </w:rPr>
            <w:t>.2017</w:t>
          </w:r>
        </w:p>
        <w:p w:rsidR="00FE0026" w:rsidRDefault="00FE0026" w:rsidP="00FE0026">
          <w:pPr>
            <w:pStyle w:val="Bezmezer"/>
            <w:ind w:left="1276" w:hanging="1276"/>
            <w:rPr>
              <w:rFonts w:ascii="Arial" w:hAnsi="Arial" w:cs="Arial"/>
              <w:b/>
              <w:sz w:val="24"/>
              <w:szCs w:val="24"/>
            </w:rPr>
          </w:pPr>
          <w:r w:rsidRPr="000724C1">
            <w:rPr>
              <w:rFonts w:ascii="Arial" w:hAnsi="Arial" w:cs="Arial"/>
              <w:b/>
              <w:sz w:val="24"/>
              <w:szCs w:val="24"/>
            </w:rPr>
            <w:t>Počet projektů</w:t>
          </w:r>
          <w:r>
            <w:rPr>
              <w:rFonts w:ascii="Arial" w:hAnsi="Arial" w:cs="Arial"/>
              <w:sz w:val="24"/>
              <w:szCs w:val="24"/>
            </w:rPr>
            <w:t xml:space="preserve">: 2120 </w:t>
          </w:r>
        </w:p>
        <w:p w:rsidR="00FE0026" w:rsidRDefault="00FE0026" w:rsidP="00FE0026">
          <w:pPr>
            <w:pStyle w:val="Bezmezer"/>
            <w:ind w:left="1701" w:hanging="170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Stav</w:t>
          </w:r>
          <w:r w:rsidRPr="000724C1">
            <w:rPr>
              <w:rFonts w:ascii="Arial" w:hAnsi="Arial" w:cs="Arial"/>
              <w:b/>
              <w:sz w:val="24"/>
              <w:szCs w:val="24"/>
            </w:rPr>
            <w:t xml:space="preserve"> projektů</w:t>
          </w:r>
          <w:r>
            <w:rPr>
              <w:rFonts w:ascii="Arial" w:hAnsi="Arial" w:cs="Arial"/>
              <w:sz w:val="24"/>
              <w:szCs w:val="24"/>
            </w:rPr>
            <w:t xml:space="preserve">: </w:t>
          </w:r>
          <w:r w:rsidRPr="000724C1">
            <w:rPr>
              <w:rFonts w:ascii="Arial" w:hAnsi="Arial" w:cs="Arial"/>
              <w:sz w:val="24"/>
              <w:szCs w:val="24"/>
            </w:rPr>
            <w:t xml:space="preserve">projekty s vydaným </w:t>
          </w:r>
          <w:r>
            <w:rPr>
              <w:rFonts w:ascii="Arial" w:hAnsi="Arial" w:cs="Arial"/>
              <w:sz w:val="24"/>
              <w:szCs w:val="24"/>
            </w:rPr>
            <w:t>právním aktem</w:t>
          </w:r>
          <w:r w:rsidRPr="000724C1">
            <w:rPr>
              <w:rFonts w:ascii="Arial" w:hAnsi="Arial" w:cs="Arial"/>
              <w:sz w:val="24"/>
              <w:szCs w:val="24"/>
            </w:rPr>
            <w:t xml:space="preserve"> a stavy následné</w:t>
          </w:r>
        </w:p>
        <w:p w:rsidR="009741BE" w:rsidRDefault="009741BE" w:rsidP="007624BB">
          <w:pPr>
            <w:pStyle w:val="Bezmezer"/>
            <w:ind w:left="1701" w:hanging="1701"/>
            <w:rPr>
              <w:rFonts w:ascii="Arial" w:hAnsi="Arial" w:cs="Arial"/>
              <w:sz w:val="24"/>
              <w:szCs w:val="24"/>
            </w:rPr>
          </w:pPr>
        </w:p>
        <w:p w:rsidR="00DD2B8B" w:rsidRDefault="00FE0026" w:rsidP="00595CFE">
          <w:pPr>
            <w:pStyle w:val="Nadpisobsahu"/>
            <w:jc w:val="center"/>
          </w:pPr>
          <w:r>
            <w:t>O</w:t>
          </w:r>
          <w:r w:rsidR="00DD2B8B">
            <w:t>bsah</w:t>
          </w:r>
        </w:p>
        <w:p w:rsidR="00D13281" w:rsidRDefault="00DD2B8B">
          <w:pPr>
            <w:pStyle w:val="Obsah1"/>
            <w:rPr>
              <w:rFonts w:asciiTheme="minorHAnsi" w:eastAsiaTheme="minorEastAsia" w:hAnsiTheme="minorHAnsi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492700" w:history="1">
            <w:r w:rsidR="00D13281" w:rsidRPr="0095546B">
              <w:rPr>
                <w:rStyle w:val="Hypertextovodkaz"/>
              </w:rPr>
              <w:t>Souhrn</w:t>
            </w:r>
            <w:r w:rsidR="00D13281">
              <w:rPr>
                <w:webHidden/>
              </w:rPr>
              <w:tab/>
            </w:r>
            <w:r w:rsidR="00D13281">
              <w:rPr>
                <w:webHidden/>
              </w:rPr>
              <w:fldChar w:fldCharType="begin"/>
            </w:r>
            <w:r w:rsidR="00D13281">
              <w:rPr>
                <w:webHidden/>
              </w:rPr>
              <w:instrText xml:space="preserve"> PAGEREF _Toc500492700 \h </w:instrText>
            </w:r>
            <w:r w:rsidR="00D13281">
              <w:rPr>
                <w:webHidden/>
              </w:rPr>
            </w:r>
            <w:r w:rsidR="00D13281">
              <w:rPr>
                <w:webHidden/>
              </w:rPr>
              <w:fldChar w:fldCharType="separate"/>
            </w:r>
            <w:r w:rsidR="00B545EF">
              <w:rPr>
                <w:webHidden/>
              </w:rPr>
              <w:t>2</w:t>
            </w:r>
            <w:r w:rsidR="00D13281">
              <w:rPr>
                <w:webHidden/>
              </w:rPr>
              <w:fldChar w:fldCharType="end"/>
            </w:r>
          </w:hyperlink>
        </w:p>
        <w:p w:rsidR="00D13281" w:rsidRDefault="001E3ADD">
          <w:pPr>
            <w:pStyle w:val="Obsah1"/>
            <w:rPr>
              <w:rFonts w:asciiTheme="minorHAnsi" w:eastAsiaTheme="minorEastAsia" w:hAnsiTheme="minorHAnsi"/>
              <w:lang w:eastAsia="cs-CZ"/>
            </w:rPr>
          </w:pPr>
          <w:hyperlink w:anchor="_Toc500492701" w:history="1">
            <w:r w:rsidR="00D13281" w:rsidRPr="0095546B">
              <w:rPr>
                <w:rStyle w:val="Hypertextovodkaz"/>
                <w:rFonts w:eastAsia="Times New Roman"/>
              </w:rPr>
              <w:t>Financování NRIS3 strategie v programu OPPIK</w:t>
            </w:r>
            <w:r w:rsidR="00D13281">
              <w:rPr>
                <w:webHidden/>
              </w:rPr>
              <w:tab/>
            </w:r>
            <w:r w:rsidR="00D13281">
              <w:rPr>
                <w:webHidden/>
              </w:rPr>
              <w:fldChar w:fldCharType="begin"/>
            </w:r>
            <w:r w:rsidR="00D13281">
              <w:rPr>
                <w:webHidden/>
              </w:rPr>
              <w:instrText xml:space="preserve"> PAGEREF _Toc500492701 \h </w:instrText>
            </w:r>
            <w:r w:rsidR="00D13281">
              <w:rPr>
                <w:webHidden/>
              </w:rPr>
            </w:r>
            <w:r w:rsidR="00D13281">
              <w:rPr>
                <w:webHidden/>
              </w:rPr>
              <w:fldChar w:fldCharType="separate"/>
            </w:r>
            <w:r w:rsidR="00B545EF">
              <w:rPr>
                <w:webHidden/>
              </w:rPr>
              <w:t>2</w:t>
            </w:r>
            <w:r w:rsidR="00D13281">
              <w:rPr>
                <w:webHidden/>
              </w:rPr>
              <w:fldChar w:fldCharType="end"/>
            </w:r>
          </w:hyperlink>
        </w:p>
        <w:p w:rsidR="00D13281" w:rsidRDefault="001E3ADD">
          <w:pPr>
            <w:pStyle w:val="Obsah1"/>
            <w:rPr>
              <w:rFonts w:asciiTheme="minorHAnsi" w:eastAsiaTheme="minorEastAsia" w:hAnsiTheme="minorHAnsi"/>
              <w:lang w:eastAsia="cs-CZ"/>
            </w:rPr>
          </w:pPr>
          <w:hyperlink w:anchor="_Toc500492702" w:history="1">
            <w:r w:rsidR="00D13281" w:rsidRPr="0095546B">
              <w:rPr>
                <w:rStyle w:val="Hypertextovodkaz"/>
              </w:rPr>
              <w:t>Kraje</w:t>
            </w:r>
            <w:r w:rsidR="00D13281">
              <w:rPr>
                <w:webHidden/>
              </w:rPr>
              <w:tab/>
            </w:r>
            <w:r w:rsidR="00D13281">
              <w:rPr>
                <w:webHidden/>
              </w:rPr>
              <w:fldChar w:fldCharType="begin"/>
            </w:r>
            <w:r w:rsidR="00D13281">
              <w:rPr>
                <w:webHidden/>
              </w:rPr>
              <w:instrText xml:space="preserve"> PAGEREF _Toc500492702 \h </w:instrText>
            </w:r>
            <w:r w:rsidR="00D13281">
              <w:rPr>
                <w:webHidden/>
              </w:rPr>
            </w:r>
            <w:r w:rsidR="00D13281">
              <w:rPr>
                <w:webHidden/>
              </w:rPr>
              <w:fldChar w:fldCharType="separate"/>
            </w:r>
            <w:r w:rsidR="00B545EF">
              <w:rPr>
                <w:webHidden/>
              </w:rPr>
              <w:t>4</w:t>
            </w:r>
            <w:r w:rsidR="00D13281">
              <w:rPr>
                <w:webHidden/>
              </w:rPr>
              <w:fldChar w:fldCharType="end"/>
            </w:r>
          </w:hyperlink>
        </w:p>
        <w:p w:rsidR="00D13281" w:rsidRDefault="001E3ADD">
          <w:pPr>
            <w:pStyle w:val="Obsah1"/>
            <w:rPr>
              <w:rFonts w:asciiTheme="minorHAnsi" w:eastAsiaTheme="minorEastAsia" w:hAnsiTheme="minorHAnsi"/>
              <w:lang w:eastAsia="cs-CZ"/>
            </w:rPr>
          </w:pPr>
          <w:hyperlink w:anchor="_Toc500492703" w:history="1">
            <w:r w:rsidR="00D13281" w:rsidRPr="0095546B">
              <w:rPr>
                <w:rStyle w:val="Hypertextovodkaz"/>
              </w:rPr>
              <w:t>Podniky</w:t>
            </w:r>
            <w:r w:rsidR="00D13281">
              <w:rPr>
                <w:webHidden/>
              </w:rPr>
              <w:tab/>
            </w:r>
            <w:r w:rsidR="00D13281">
              <w:rPr>
                <w:webHidden/>
              </w:rPr>
              <w:fldChar w:fldCharType="begin"/>
            </w:r>
            <w:r w:rsidR="00D13281">
              <w:rPr>
                <w:webHidden/>
              </w:rPr>
              <w:instrText xml:space="preserve"> PAGEREF _Toc500492703 \h </w:instrText>
            </w:r>
            <w:r w:rsidR="00D13281">
              <w:rPr>
                <w:webHidden/>
              </w:rPr>
            </w:r>
            <w:r w:rsidR="00D13281">
              <w:rPr>
                <w:webHidden/>
              </w:rPr>
              <w:fldChar w:fldCharType="separate"/>
            </w:r>
            <w:r w:rsidR="00B545EF">
              <w:rPr>
                <w:webHidden/>
              </w:rPr>
              <w:t>6</w:t>
            </w:r>
            <w:r w:rsidR="00D13281">
              <w:rPr>
                <w:webHidden/>
              </w:rPr>
              <w:fldChar w:fldCharType="end"/>
            </w:r>
          </w:hyperlink>
        </w:p>
        <w:p w:rsidR="00D13281" w:rsidRDefault="001E3ADD">
          <w:pPr>
            <w:pStyle w:val="Obsah1"/>
            <w:rPr>
              <w:rFonts w:asciiTheme="minorHAnsi" w:eastAsiaTheme="minorEastAsia" w:hAnsiTheme="minorHAnsi"/>
              <w:lang w:eastAsia="cs-CZ"/>
            </w:rPr>
          </w:pPr>
          <w:hyperlink w:anchor="_Toc500492704" w:history="1">
            <w:r w:rsidR="00D13281" w:rsidRPr="0095546B">
              <w:rPr>
                <w:rStyle w:val="Hypertextovodkaz"/>
              </w:rPr>
              <w:t>Sestava monitorovacích indikátorů</w:t>
            </w:r>
            <w:r w:rsidR="00D13281">
              <w:rPr>
                <w:webHidden/>
              </w:rPr>
              <w:tab/>
            </w:r>
            <w:r w:rsidR="00D13281">
              <w:rPr>
                <w:webHidden/>
              </w:rPr>
              <w:fldChar w:fldCharType="begin"/>
            </w:r>
            <w:r w:rsidR="00D13281">
              <w:rPr>
                <w:webHidden/>
              </w:rPr>
              <w:instrText xml:space="preserve"> PAGEREF _Toc500492704 \h </w:instrText>
            </w:r>
            <w:r w:rsidR="00D13281">
              <w:rPr>
                <w:webHidden/>
              </w:rPr>
            </w:r>
            <w:r w:rsidR="00D13281">
              <w:rPr>
                <w:webHidden/>
              </w:rPr>
              <w:fldChar w:fldCharType="separate"/>
            </w:r>
            <w:r w:rsidR="00B545EF">
              <w:rPr>
                <w:webHidden/>
              </w:rPr>
              <w:t>8</w:t>
            </w:r>
            <w:r w:rsidR="00D13281">
              <w:rPr>
                <w:webHidden/>
              </w:rPr>
              <w:fldChar w:fldCharType="end"/>
            </w:r>
          </w:hyperlink>
        </w:p>
        <w:p w:rsidR="00DD2B8B" w:rsidRDefault="00DD2B8B">
          <w:r>
            <w:rPr>
              <w:b/>
              <w:bCs/>
            </w:rPr>
            <w:fldChar w:fldCharType="end"/>
          </w:r>
        </w:p>
      </w:sdtContent>
    </w:sdt>
    <w:p w:rsidR="0028135C" w:rsidRDefault="0028135C" w:rsidP="0028135C"/>
    <w:p w:rsidR="00C05082" w:rsidRPr="00C05082" w:rsidRDefault="00C05082">
      <w:pPr>
        <w:pStyle w:val="Seznamobrzk"/>
        <w:tabs>
          <w:tab w:val="right" w:leader="dot" w:pos="9061"/>
        </w:tabs>
        <w:rPr>
          <w:rFonts w:ascii="Arial" w:hAnsi="Arial" w:cs="Arial"/>
          <w:b/>
          <w:sz w:val="24"/>
          <w:szCs w:val="24"/>
        </w:rPr>
      </w:pPr>
      <w:r w:rsidRPr="00C05082">
        <w:rPr>
          <w:rFonts w:ascii="Arial" w:hAnsi="Arial" w:cs="Arial"/>
          <w:b/>
          <w:sz w:val="24"/>
          <w:szCs w:val="24"/>
        </w:rPr>
        <w:t>Seznam tabulek</w:t>
      </w:r>
    </w:p>
    <w:p w:rsidR="00D13281" w:rsidRDefault="00C05082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500492705" w:history="1">
        <w:r w:rsidR="00D13281" w:rsidRPr="00ED749C">
          <w:rPr>
            <w:rStyle w:val="Hypertextovodkaz"/>
            <w:noProof/>
          </w:rPr>
          <w:t>Tabulka 1 – Plnění finančního plánu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_Toc500492705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2</w:t>
        </w:r>
        <w:r w:rsidR="00D13281">
          <w:rPr>
            <w:noProof/>
            <w:webHidden/>
          </w:rPr>
          <w:fldChar w:fldCharType="end"/>
        </w:r>
      </w:hyperlink>
    </w:p>
    <w:p w:rsidR="00D13281" w:rsidRDefault="001E3ADD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hyperlink w:anchor="_Toc500492706" w:history="1">
        <w:r w:rsidR="00D13281" w:rsidRPr="00ED749C">
          <w:rPr>
            <w:rStyle w:val="Hypertextovodkaz"/>
            <w:noProof/>
          </w:rPr>
          <w:t>Tabulka 2 – Sestava monitorovacích indikátorů NRIS3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_Toc500492706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8</w:t>
        </w:r>
        <w:r w:rsidR="00D13281">
          <w:rPr>
            <w:noProof/>
            <w:webHidden/>
          </w:rPr>
          <w:fldChar w:fldCharType="end"/>
        </w:r>
      </w:hyperlink>
    </w:p>
    <w:p w:rsidR="0028135C" w:rsidRDefault="00C05082" w:rsidP="0028135C">
      <w:r>
        <w:fldChar w:fldCharType="end"/>
      </w:r>
    </w:p>
    <w:p w:rsidR="00C05082" w:rsidRPr="00C05082" w:rsidRDefault="00C05082">
      <w:pPr>
        <w:pStyle w:val="Seznamobrzk"/>
        <w:tabs>
          <w:tab w:val="right" w:leader="dot" w:pos="9061"/>
        </w:tabs>
        <w:rPr>
          <w:rFonts w:ascii="Arial" w:hAnsi="Arial" w:cs="Arial"/>
          <w:b/>
          <w:sz w:val="24"/>
          <w:szCs w:val="24"/>
        </w:rPr>
      </w:pPr>
      <w:r w:rsidRPr="00C05082">
        <w:rPr>
          <w:rFonts w:ascii="Arial" w:hAnsi="Arial" w:cs="Arial"/>
          <w:b/>
          <w:sz w:val="24"/>
          <w:szCs w:val="24"/>
        </w:rPr>
        <w:t>Seznam grafů</w:t>
      </w:r>
    </w:p>
    <w:p w:rsidR="00D13281" w:rsidRDefault="00C05082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500492751" w:history="1">
        <w:r w:rsidR="00D13281" w:rsidRPr="00C0298B">
          <w:rPr>
            <w:rStyle w:val="Hypertextovodkaz"/>
            <w:noProof/>
          </w:rPr>
          <w:t>Graf 1 - Financování cílů RIS3 strategie – vývoj a srovnání vůči plánu RIS3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_Toc500492751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3</w:t>
        </w:r>
        <w:r w:rsidR="00D13281">
          <w:rPr>
            <w:noProof/>
            <w:webHidden/>
          </w:rPr>
          <w:fldChar w:fldCharType="end"/>
        </w:r>
      </w:hyperlink>
    </w:p>
    <w:p w:rsidR="00D13281" w:rsidRDefault="001E3ADD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hyperlink w:anchor="_Toc500492752" w:history="1">
        <w:r w:rsidR="00D13281" w:rsidRPr="00C0298B">
          <w:rPr>
            <w:rStyle w:val="Hypertextovodkaz"/>
            <w:noProof/>
          </w:rPr>
          <w:t>Graf 2 – Financování aplikačních odvětví RIS3 strategie v OP PIK (v adekvátním srovnání s OP PI)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_Toc500492752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4</w:t>
        </w:r>
        <w:r w:rsidR="00D13281">
          <w:rPr>
            <w:noProof/>
            <w:webHidden/>
          </w:rPr>
          <w:fldChar w:fldCharType="end"/>
        </w:r>
      </w:hyperlink>
    </w:p>
    <w:p w:rsidR="00D13281" w:rsidRDefault="001E3ADD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hyperlink w:anchor="_Toc500492753" w:history="1">
        <w:r w:rsidR="00D13281" w:rsidRPr="00C0298B">
          <w:rPr>
            <w:rStyle w:val="Hypertextovodkaz"/>
            <w:noProof/>
          </w:rPr>
          <w:t>Graf 3 – Rozložení financování krajů ČR ve vztahu k podpořeným aplikačním odvětvím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_Toc500492753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5</w:t>
        </w:r>
        <w:r w:rsidR="00D13281">
          <w:rPr>
            <w:noProof/>
            <w:webHidden/>
          </w:rPr>
          <w:fldChar w:fldCharType="end"/>
        </w:r>
      </w:hyperlink>
    </w:p>
    <w:p w:rsidR="00D13281" w:rsidRDefault="001E3ADD">
      <w:pPr>
        <w:pStyle w:val="Seznamobrzk"/>
        <w:tabs>
          <w:tab w:val="right" w:leader="dot" w:pos="9061"/>
        </w:tabs>
        <w:rPr>
          <w:rFonts w:eastAsiaTheme="minorEastAsia"/>
          <w:noProof/>
          <w:lang w:eastAsia="cs-CZ"/>
        </w:rPr>
      </w:pPr>
      <w:hyperlink w:anchor="_Toc500492754" w:history="1">
        <w:r w:rsidR="00D13281" w:rsidRPr="00C0298B">
          <w:rPr>
            <w:rStyle w:val="Hypertextovodkaz"/>
            <w:noProof/>
          </w:rPr>
          <w:t>Graf 4 – Velikost podniků ve vztahu k aplikačním odvětvím RIS3 strategie</w:t>
        </w:r>
        <w:r w:rsidR="00D13281">
          <w:rPr>
            <w:noProof/>
            <w:webHidden/>
          </w:rPr>
          <w:tab/>
        </w:r>
        <w:r w:rsidR="00D13281">
          <w:rPr>
            <w:noProof/>
            <w:webHidden/>
          </w:rPr>
          <w:fldChar w:fldCharType="begin"/>
        </w:r>
        <w:r w:rsidR="00D13281">
          <w:rPr>
            <w:noProof/>
            <w:webHidden/>
          </w:rPr>
          <w:instrText xml:space="preserve"> PAGEREF _Toc500492754 \h </w:instrText>
        </w:r>
        <w:r w:rsidR="00D13281">
          <w:rPr>
            <w:noProof/>
            <w:webHidden/>
          </w:rPr>
        </w:r>
        <w:r w:rsidR="00D13281">
          <w:rPr>
            <w:noProof/>
            <w:webHidden/>
          </w:rPr>
          <w:fldChar w:fldCharType="separate"/>
        </w:r>
        <w:r w:rsidR="00B545EF">
          <w:rPr>
            <w:noProof/>
            <w:webHidden/>
          </w:rPr>
          <w:t>6</w:t>
        </w:r>
        <w:r w:rsidR="00D13281">
          <w:rPr>
            <w:noProof/>
            <w:webHidden/>
          </w:rPr>
          <w:fldChar w:fldCharType="end"/>
        </w:r>
      </w:hyperlink>
    </w:p>
    <w:p w:rsidR="00A47289" w:rsidRDefault="00C05082">
      <w:r>
        <w:fldChar w:fldCharType="end"/>
      </w:r>
      <w:r w:rsidR="00A47289">
        <w:br w:type="page"/>
      </w:r>
    </w:p>
    <w:p w:rsidR="00A47289" w:rsidRDefault="00A47289" w:rsidP="00A47289">
      <w:pPr>
        <w:pStyle w:val="NadpisurovenI"/>
      </w:pPr>
      <w:bookmarkStart w:id="1" w:name="_Toc500492700"/>
      <w:bookmarkStart w:id="2" w:name="_Toc499634589"/>
      <w:r>
        <w:lastRenderedPageBreak/>
        <w:t>Souhrn</w:t>
      </w:r>
      <w:bookmarkEnd w:id="1"/>
    </w:p>
    <w:p w:rsidR="00A47289" w:rsidRDefault="00A47289" w:rsidP="00A47289">
      <w:pPr>
        <w:jc w:val="both"/>
        <w:rPr>
          <w:lang w:eastAsia="cs-CZ"/>
        </w:rPr>
      </w:pPr>
      <w:r w:rsidRPr="00974B67">
        <w:rPr>
          <w:lang w:eastAsia="cs-CZ"/>
        </w:rPr>
        <w:t>Implementace</w:t>
      </w:r>
      <w:r w:rsidRPr="00B036D5">
        <w:rPr>
          <w:lang w:eastAsia="cs-CZ"/>
        </w:rPr>
        <w:t xml:space="preserve"> </w:t>
      </w:r>
      <w:r>
        <w:rPr>
          <w:lang w:eastAsia="cs-CZ"/>
        </w:rPr>
        <w:t xml:space="preserve">Národní </w:t>
      </w:r>
      <w:r w:rsidRPr="00B036D5">
        <w:rPr>
          <w:lang w:eastAsia="cs-CZ"/>
        </w:rPr>
        <w:t xml:space="preserve">RIS3 strategie v operačních programech </w:t>
      </w:r>
      <w:r>
        <w:rPr>
          <w:lang w:eastAsia="cs-CZ"/>
        </w:rPr>
        <w:t xml:space="preserve">financovaných z ESIF je z velké části zajištěna </w:t>
      </w:r>
      <w:r w:rsidRPr="00974B67">
        <w:rPr>
          <w:lang w:eastAsia="cs-CZ"/>
        </w:rPr>
        <w:t>Operačním programem Podnikání a inovace pro konkurenceschopnost (OP PIK)</w:t>
      </w:r>
      <w:r>
        <w:rPr>
          <w:lang w:eastAsia="cs-CZ"/>
        </w:rPr>
        <w:t xml:space="preserve">. Následující analýza prezentuje monitoring současného stavu </w:t>
      </w:r>
      <w:r w:rsidR="00C03441">
        <w:rPr>
          <w:lang w:eastAsia="cs-CZ"/>
        </w:rPr>
        <w:t>financování</w:t>
      </w:r>
      <w:r>
        <w:rPr>
          <w:lang w:eastAsia="cs-CZ"/>
        </w:rPr>
        <w:t xml:space="preserve"> (</w:t>
      </w:r>
      <w:r w:rsidRPr="00C05082">
        <w:rPr>
          <w:b/>
          <w:lang w:eastAsia="cs-CZ"/>
        </w:rPr>
        <w:t>2. sběr dat</w:t>
      </w:r>
      <w:r>
        <w:rPr>
          <w:lang w:eastAsia="cs-CZ"/>
        </w:rPr>
        <w:t xml:space="preserve"> proběhl </w:t>
      </w:r>
      <w:r w:rsidRPr="00C05082">
        <w:rPr>
          <w:b/>
          <w:lang w:eastAsia="cs-CZ"/>
        </w:rPr>
        <w:t>k 31. 10. 2017</w:t>
      </w:r>
      <w:r>
        <w:rPr>
          <w:lang w:eastAsia="cs-CZ"/>
        </w:rPr>
        <w:t>) v příslušných výzvách a jeho vývoj od 1. sběru dat, tj. od června 2017. Z dlouhodobého hlediska je na dílčích případech použito srovnání s ekvivalentními výzvami předchozího programového období (2007 - 2013), tj. Operačního programu Podnikání a inovace (OP PI).</w:t>
      </w:r>
    </w:p>
    <w:p w:rsidR="002E603D" w:rsidRDefault="002E603D" w:rsidP="002E603D">
      <w:pPr>
        <w:pStyle w:val="Odstavecseseznamem"/>
        <w:numPr>
          <w:ilvl w:val="0"/>
          <w:numId w:val="44"/>
        </w:numPr>
        <w:jc w:val="both"/>
      </w:pPr>
      <w:r>
        <w:t>Financování RIS3 strategie z </w:t>
      </w:r>
      <w:proofErr w:type="gramStart"/>
      <w:r>
        <w:t>OP</w:t>
      </w:r>
      <w:proofErr w:type="gramEnd"/>
      <w:r>
        <w:t xml:space="preserve"> PIK je zhruba na 30% svého plánu.</w:t>
      </w:r>
    </w:p>
    <w:p w:rsidR="00BC5CE2" w:rsidRDefault="00BC5CE2" w:rsidP="002E603D">
      <w:pPr>
        <w:pStyle w:val="Odstavecseseznamem"/>
        <w:numPr>
          <w:ilvl w:val="0"/>
          <w:numId w:val="44"/>
        </w:numPr>
        <w:jc w:val="both"/>
      </w:pPr>
      <w:r>
        <w:t xml:space="preserve">RIS3 strategie je prostřednictvím OP PIK realizována ve všech krajích, </w:t>
      </w:r>
      <w:r w:rsidR="00C05082">
        <w:t>avšak s</w:t>
      </w:r>
      <w:r>
        <w:t> různou intenzitou. Totéž platí o pokrytí aplikačních odvětví.</w:t>
      </w:r>
    </w:p>
    <w:p w:rsidR="00BC5CE2" w:rsidRDefault="00BC5CE2" w:rsidP="002E603D">
      <w:pPr>
        <w:pStyle w:val="Odstavecseseznamem"/>
        <w:numPr>
          <w:ilvl w:val="0"/>
          <w:numId w:val="44"/>
        </w:numPr>
        <w:jc w:val="both"/>
      </w:pPr>
      <w:r>
        <w:t>Mezi subjekty podpory jsou vyváženě zastoupeny velké podniky i MSP, mezi největší</w:t>
      </w:r>
      <w:r w:rsidR="00C05082">
        <w:t>mi</w:t>
      </w:r>
      <w:r>
        <w:t xml:space="preserve"> příjemc</w:t>
      </w:r>
      <w:r w:rsidR="00C05082">
        <w:t xml:space="preserve">i </w:t>
      </w:r>
      <w:r w:rsidR="0024455C">
        <w:t>ve sle</w:t>
      </w:r>
      <w:r>
        <w:t xml:space="preserve">dovaných výzvách  OP PIK </w:t>
      </w:r>
      <w:r w:rsidR="00C05082">
        <w:t xml:space="preserve">však </w:t>
      </w:r>
      <w:r>
        <w:t>převládají velké podniky.</w:t>
      </w:r>
    </w:p>
    <w:p w:rsidR="00BC5CE2" w:rsidRPr="00A47289" w:rsidRDefault="00BC5CE2" w:rsidP="002E603D">
      <w:pPr>
        <w:pStyle w:val="Odstavecseseznamem"/>
        <w:numPr>
          <w:ilvl w:val="0"/>
          <w:numId w:val="44"/>
        </w:numPr>
        <w:jc w:val="both"/>
      </w:pPr>
      <w:r>
        <w:t>Plnění monitorovacích indikátorů je ve většině případů velmi dobré.</w:t>
      </w:r>
    </w:p>
    <w:p w:rsidR="002C07AD" w:rsidRDefault="002C07AD" w:rsidP="00A47289">
      <w:pPr>
        <w:pStyle w:val="NadpisurovenI"/>
        <w:rPr>
          <w:rFonts w:eastAsia="Times New Roman"/>
        </w:rPr>
      </w:pPr>
    </w:p>
    <w:p w:rsidR="00A47289" w:rsidRDefault="00A47289" w:rsidP="00A47289">
      <w:pPr>
        <w:pStyle w:val="NadpisurovenI"/>
        <w:rPr>
          <w:rFonts w:eastAsia="Times New Roman"/>
        </w:rPr>
      </w:pPr>
      <w:bookmarkStart w:id="3" w:name="_Toc500492701"/>
      <w:r>
        <w:rPr>
          <w:rFonts w:eastAsia="Times New Roman"/>
        </w:rPr>
        <w:t>Financování</w:t>
      </w:r>
      <w:r w:rsidR="003B4379">
        <w:rPr>
          <w:rStyle w:val="Znakapoznpodarou"/>
          <w:rFonts w:eastAsia="Times New Roman"/>
        </w:rPr>
        <w:footnoteReference w:id="1"/>
      </w:r>
      <w:r>
        <w:rPr>
          <w:rFonts w:eastAsia="Times New Roman"/>
        </w:rPr>
        <w:t xml:space="preserve"> NRIS3 strategie v programu OPPIK</w:t>
      </w:r>
      <w:bookmarkEnd w:id="2"/>
      <w:bookmarkEnd w:id="3"/>
    </w:p>
    <w:p w:rsidR="00A47289" w:rsidRPr="00B42AE1" w:rsidRDefault="00A47289" w:rsidP="00B42AE1">
      <w:pPr>
        <w:rPr>
          <w:b/>
          <w:color w:val="365F91" w:themeColor="accent1" w:themeShade="BF"/>
          <w:sz w:val="24"/>
          <w:szCs w:val="24"/>
        </w:rPr>
      </w:pPr>
      <w:bookmarkStart w:id="4" w:name="_Toc499634590"/>
      <w:r w:rsidRPr="00B42AE1">
        <w:rPr>
          <w:b/>
          <w:color w:val="365F91" w:themeColor="accent1" w:themeShade="BF"/>
          <w:sz w:val="24"/>
          <w:szCs w:val="24"/>
        </w:rPr>
        <w:t>Plnění finančního plánu</w:t>
      </w:r>
      <w:bookmarkEnd w:id="4"/>
    </w:p>
    <w:p w:rsidR="00A47289" w:rsidRDefault="00A47289" w:rsidP="00A47289">
      <w:pPr>
        <w:pStyle w:val="Titulek"/>
      </w:pPr>
      <w:bookmarkStart w:id="5" w:name="_Toc495493558"/>
      <w:bookmarkStart w:id="6" w:name="_Toc499634611"/>
      <w:bookmarkStart w:id="7" w:name="_Toc500492705"/>
      <w:r w:rsidRPr="000B70E4">
        <w:t xml:space="preserve">Tabulka </w:t>
      </w:r>
      <w:r w:rsidR="001E3ADD">
        <w:fldChar w:fldCharType="begin"/>
      </w:r>
      <w:r w:rsidR="001E3ADD">
        <w:instrText xml:space="preserve"> SEQ Tabulka \* ARABIC </w:instrText>
      </w:r>
      <w:r w:rsidR="001E3ADD">
        <w:fldChar w:fldCharType="separate"/>
      </w:r>
      <w:r w:rsidR="00B545EF">
        <w:rPr>
          <w:noProof/>
        </w:rPr>
        <w:t>1</w:t>
      </w:r>
      <w:r w:rsidR="001E3ADD">
        <w:rPr>
          <w:noProof/>
        </w:rPr>
        <w:fldChar w:fldCharType="end"/>
      </w:r>
      <w:r>
        <w:t xml:space="preserve"> – </w:t>
      </w:r>
      <w:bookmarkEnd w:id="5"/>
      <w:r>
        <w:t>Plnění finančního plánu</w:t>
      </w:r>
      <w:bookmarkEnd w:id="6"/>
      <w:bookmarkEnd w:id="7"/>
      <w:r>
        <w:t xml:space="preserve">  </w:t>
      </w:r>
    </w:p>
    <w:tbl>
      <w:tblPr>
        <w:tblW w:w="5886" w:type="dxa"/>
        <w:jc w:val="center"/>
        <w:tblInd w:w="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523"/>
        <w:gridCol w:w="1343"/>
        <w:gridCol w:w="1380"/>
      </w:tblGrid>
      <w:tr w:rsidR="00A47289" w:rsidRPr="00695E91" w:rsidTr="004F7408">
        <w:trPr>
          <w:trHeight w:val="310"/>
          <w:jc w:val="center"/>
        </w:trPr>
        <w:tc>
          <w:tcPr>
            <w:tcW w:w="16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2F2F2"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Období</w:t>
            </w:r>
          </w:p>
        </w:tc>
        <w:tc>
          <w:tcPr>
            <w:tcW w:w="152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Aktuální stav</w:t>
            </w:r>
          </w:p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cs-CZ"/>
              </w:rPr>
            </w:pPr>
            <w:r w:rsidRPr="00D14FF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cs-CZ"/>
              </w:rPr>
              <w:t>(mld. Kč)</w:t>
            </w:r>
          </w:p>
        </w:tc>
        <w:tc>
          <w:tcPr>
            <w:tcW w:w="134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Plánováno</w:t>
            </w:r>
          </w:p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cs-CZ"/>
              </w:rPr>
            </w:pPr>
            <w:r w:rsidRPr="00D14FF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cs-CZ"/>
              </w:rPr>
              <w:t>(mld. Kč)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Míra plnění</w:t>
            </w:r>
          </w:p>
        </w:tc>
      </w:tr>
      <w:tr w:rsidR="00A47289" w:rsidRPr="00695E91" w:rsidTr="004F7408">
        <w:trPr>
          <w:trHeight w:val="310"/>
          <w:jc w:val="center"/>
        </w:trPr>
        <w:tc>
          <w:tcPr>
            <w:tcW w:w="16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2F2F2"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2015-05.2017</w:t>
            </w:r>
          </w:p>
        </w:tc>
        <w:tc>
          <w:tcPr>
            <w:tcW w:w="15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20,21</w:t>
            </w:r>
          </w:p>
        </w:tc>
        <w:tc>
          <w:tcPr>
            <w:tcW w:w="1343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137,</w:t>
            </w: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15%</w:t>
            </w:r>
          </w:p>
        </w:tc>
      </w:tr>
      <w:tr w:rsidR="00A47289" w:rsidRPr="00695E91" w:rsidTr="004F7408">
        <w:trPr>
          <w:trHeight w:val="310"/>
          <w:jc w:val="center"/>
        </w:trPr>
        <w:tc>
          <w:tcPr>
            <w:tcW w:w="16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2F2F2"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2015-10.2017</w:t>
            </w:r>
          </w:p>
        </w:tc>
        <w:tc>
          <w:tcPr>
            <w:tcW w:w="15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41,18</w:t>
            </w:r>
          </w:p>
        </w:tc>
        <w:tc>
          <w:tcPr>
            <w:tcW w:w="134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2F2F2"/>
            <w:noWrap/>
            <w:vAlign w:val="center"/>
            <w:hideMark/>
          </w:tcPr>
          <w:p w:rsidR="00A47289" w:rsidRPr="00695E91" w:rsidRDefault="00A47289" w:rsidP="004F740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95E9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30%</w:t>
            </w:r>
          </w:p>
        </w:tc>
      </w:tr>
    </w:tbl>
    <w:p w:rsidR="00A47289" w:rsidRDefault="00A47289" w:rsidP="00A47289"/>
    <w:p w:rsidR="00A47289" w:rsidRDefault="00A47289" w:rsidP="00676735">
      <w:pPr>
        <w:ind w:firstLine="708"/>
        <w:jc w:val="both"/>
      </w:pPr>
      <w:r>
        <w:t xml:space="preserve">Z celkového finančního plánu OP PIK (Tabulka 1) sledovaného Národní RIS3 strategií </w:t>
      </w:r>
      <w:r>
        <w:rPr>
          <w:sz w:val="24"/>
        </w:rPr>
        <w:t>(tj. 137,89 mld. </w:t>
      </w:r>
      <w:r w:rsidRPr="004673FC">
        <w:rPr>
          <w:sz w:val="24"/>
        </w:rPr>
        <w:t xml:space="preserve">Kč) </w:t>
      </w:r>
      <w:r w:rsidR="00462EAE">
        <w:t xml:space="preserve">jsou aktuálně </w:t>
      </w:r>
      <w:proofErr w:type="spellStart"/>
      <w:r w:rsidR="00462EAE">
        <w:t>zazávazkovány</w:t>
      </w:r>
      <w:proofErr w:type="spellEnd"/>
      <w:r w:rsidR="00462EAE">
        <w:t xml:space="preserve"> finance</w:t>
      </w:r>
      <w:r w:rsidR="00C03441">
        <w:rPr>
          <w:b/>
        </w:rPr>
        <w:t xml:space="preserve"> ve výši</w:t>
      </w:r>
      <w:r w:rsidRPr="004673FC">
        <w:rPr>
          <w:b/>
        </w:rPr>
        <w:t xml:space="preserve"> 30%</w:t>
      </w:r>
      <w:r>
        <w:t xml:space="preserve"> (tj. 41,18 mld. Kč). </w:t>
      </w:r>
      <w:r w:rsidRPr="004673FC">
        <w:rPr>
          <w:b/>
        </w:rPr>
        <w:t xml:space="preserve">Tempo </w:t>
      </w:r>
      <w:r w:rsidR="00C03441">
        <w:rPr>
          <w:b/>
        </w:rPr>
        <w:t>financování</w:t>
      </w:r>
      <w:r>
        <w:t xml:space="preserve"> je od posledního sběru dat poměrně </w:t>
      </w:r>
      <w:r w:rsidRPr="004673FC">
        <w:rPr>
          <w:b/>
        </w:rPr>
        <w:t>plynulé</w:t>
      </w:r>
      <w:r>
        <w:t>.</w:t>
      </w:r>
      <w:bookmarkStart w:id="8" w:name="_Toc499634591"/>
    </w:p>
    <w:p w:rsidR="000D64DA" w:rsidRDefault="000D64DA" w:rsidP="00B42AE1">
      <w:pPr>
        <w:rPr>
          <w:b/>
          <w:color w:val="365F91" w:themeColor="accent1" w:themeShade="BF"/>
          <w:sz w:val="24"/>
          <w:szCs w:val="24"/>
        </w:rPr>
      </w:pPr>
    </w:p>
    <w:p w:rsidR="00B42AE1" w:rsidRDefault="00462EAE" w:rsidP="00B42AE1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Podpora cílů </w:t>
      </w:r>
      <w:r w:rsidR="00A47289" w:rsidRPr="00B42AE1">
        <w:rPr>
          <w:b/>
          <w:color w:val="365F91" w:themeColor="accent1" w:themeShade="BF"/>
          <w:sz w:val="24"/>
          <w:szCs w:val="24"/>
        </w:rPr>
        <w:t>RIS3 strategie</w:t>
      </w:r>
      <w:bookmarkEnd w:id="8"/>
      <w:r>
        <w:rPr>
          <w:b/>
          <w:color w:val="365F91" w:themeColor="accent1" w:themeShade="BF"/>
          <w:sz w:val="24"/>
          <w:szCs w:val="24"/>
        </w:rPr>
        <w:t xml:space="preserve"> a nejvýznam</w:t>
      </w:r>
      <w:r w:rsidR="00461A4D">
        <w:rPr>
          <w:b/>
          <w:color w:val="365F91" w:themeColor="accent1" w:themeShade="BF"/>
          <w:sz w:val="24"/>
          <w:szCs w:val="24"/>
        </w:rPr>
        <w:t>n</w:t>
      </w:r>
      <w:r>
        <w:rPr>
          <w:b/>
          <w:color w:val="365F91" w:themeColor="accent1" w:themeShade="BF"/>
          <w:sz w:val="24"/>
          <w:szCs w:val="24"/>
        </w:rPr>
        <w:t>ější programy podpory/výzvy</w:t>
      </w:r>
    </w:p>
    <w:p w:rsidR="000D64DA" w:rsidRDefault="000D64DA" w:rsidP="000D64DA">
      <w:pPr>
        <w:ind w:firstLine="708"/>
        <w:jc w:val="both"/>
      </w:pPr>
      <w:r>
        <w:t>Dosud nejvíce podpořenou klíčovou oblastí změn Národní RIS3 strategie (Graf 1) je v </w:t>
      </w:r>
      <w:proofErr w:type="gramStart"/>
      <w:r>
        <w:t>OP</w:t>
      </w:r>
      <w:proofErr w:type="gramEnd"/>
      <w:r>
        <w:t xml:space="preserve"> PIK </w:t>
      </w:r>
      <w:r>
        <w:rPr>
          <w:b/>
        </w:rPr>
        <w:t>oblast </w:t>
      </w:r>
      <w:r w:rsidRPr="00564348">
        <w:rPr>
          <w:b/>
        </w:rPr>
        <w:t>A</w:t>
      </w:r>
      <w:r>
        <w:t xml:space="preserve"> – </w:t>
      </w:r>
      <w:r w:rsidRPr="00564348">
        <w:rPr>
          <w:b/>
        </w:rPr>
        <w:t xml:space="preserve">Vyšší inovační výkonnost firem </w:t>
      </w:r>
      <w:r>
        <w:t xml:space="preserve">(29,17 mld. Kč). Na druhém místě je klíčová oblast změn E - </w:t>
      </w:r>
      <w:r w:rsidRPr="00713977">
        <w:t xml:space="preserve">Rozvoj </w:t>
      </w:r>
      <w:proofErr w:type="spellStart"/>
      <w:r w:rsidRPr="00713977">
        <w:t>eGovernmentu</w:t>
      </w:r>
      <w:proofErr w:type="spellEnd"/>
      <w:r w:rsidRPr="00713977">
        <w:t xml:space="preserve"> a </w:t>
      </w:r>
      <w:proofErr w:type="spellStart"/>
      <w:r w:rsidRPr="00713977">
        <w:t>eBusinessu</w:t>
      </w:r>
      <w:proofErr w:type="spellEnd"/>
      <w:r w:rsidRPr="00713977">
        <w:t xml:space="preserve"> pro zvýšení konkurenceschopnosti </w:t>
      </w:r>
      <w:r>
        <w:t>(7,94 mld. Kč). Vysoký nárůst (</w:t>
      </w:r>
      <w:r w:rsidRPr="00564348">
        <w:rPr>
          <w:b/>
        </w:rPr>
        <w:t>200%</w:t>
      </w:r>
      <w:r>
        <w:t xml:space="preserve">) oproti plánu vykazuje klíčová oblast změn </w:t>
      </w:r>
      <w:r w:rsidRPr="00564348">
        <w:rPr>
          <w:b/>
        </w:rPr>
        <w:t>C - Zvýšení ekonomických přínosů veřejného výzkumu</w:t>
      </w:r>
      <w:r>
        <w:t xml:space="preserve"> (4,07 mld. Kč).</w:t>
      </w:r>
    </w:p>
    <w:p w:rsidR="000D64DA" w:rsidRPr="000D64DA" w:rsidRDefault="000D64DA" w:rsidP="000D64DA">
      <w:pPr>
        <w:ind w:firstLine="708"/>
        <w:jc w:val="both"/>
        <w:rPr>
          <w:rFonts w:ascii="Calibri" w:eastAsia="Times New Roman" w:hAnsi="Calibri" w:cs="Times New Roman"/>
          <w:color w:val="000000"/>
          <w:lang w:eastAsia="cs-CZ"/>
        </w:rPr>
      </w:pPr>
      <w:proofErr w:type="spellStart"/>
      <w:r>
        <w:rPr>
          <w:b/>
        </w:rPr>
        <w:t>Nejvýznamější</w:t>
      </w:r>
      <w:proofErr w:type="spellEnd"/>
      <w:r>
        <w:rPr>
          <w:b/>
        </w:rPr>
        <w:t xml:space="preserve"> výzvou (</w:t>
      </w:r>
      <w:r>
        <w:t xml:space="preserve">z hlediska objemu </w:t>
      </w:r>
      <w:proofErr w:type="spellStart"/>
      <w:r>
        <w:t>zazávazkovaných</w:t>
      </w:r>
      <w:proofErr w:type="spellEnd"/>
      <w:r>
        <w:t xml:space="preserve"> financí) navázanou na Národní RIS3 strategii je v </w:t>
      </w:r>
      <w:proofErr w:type="gramStart"/>
      <w:r>
        <w:t>OP</w:t>
      </w:r>
      <w:proofErr w:type="gramEnd"/>
      <w:r>
        <w:t xml:space="preserve"> PIK výzva </w:t>
      </w:r>
      <w:r w:rsidRPr="00C07884">
        <w:t>INOVACE-INOVAČNÍ PROJEKT-I. VÝZVA</w:t>
      </w:r>
      <w:r>
        <w:t xml:space="preserve"> (10 049 mil. Kč). Na druhém místě je výzva </w:t>
      </w:r>
      <w:r w:rsidRPr="00C07884">
        <w:t>INOVACE - Inovační projekt - Výzva III</w:t>
      </w:r>
      <w:r>
        <w:t xml:space="preserve"> (7 008 mil. Kč) a na třetím výzva </w:t>
      </w:r>
      <w:r w:rsidRPr="00C07884">
        <w:t xml:space="preserve">APLIKACE I. </w:t>
      </w:r>
      <w:r w:rsidRPr="00C07884">
        <w:lastRenderedPageBreak/>
        <w:t>VÝZVA - BEZ ÚČINNÉ SPOLUPRÁCE</w:t>
      </w:r>
      <w:r>
        <w:t xml:space="preserve"> (3 674 mil. Kč). Všechny tři spadají pod jediný RIS3 specifický cíl. V rámci dalších specifických cílů Národní RIS3 strategie mají výrazné pokrytí výzvy </w:t>
      </w:r>
      <w:r w:rsidRPr="00564348">
        <w:rPr>
          <w:rFonts w:ascii="Calibri" w:eastAsia="Times New Roman" w:hAnsi="Calibri" w:cs="Times New Roman"/>
          <w:color w:val="000000"/>
          <w:lang w:eastAsia="cs-CZ"/>
        </w:rPr>
        <w:t>ICT A SDÍLENÉ SLUŽBY - I. výzva - TVORBA NOVÝCH IS/ICT ŘEŠENÍ (3 949 mil. Kč) a APLIKACE I. VÝZVA - S ÚČI</w:t>
      </w:r>
      <w:r>
        <w:rPr>
          <w:rFonts w:ascii="Calibri" w:eastAsia="Times New Roman" w:hAnsi="Calibri" w:cs="Times New Roman"/>
          <w:color w:val="000000"/>
          <w:lang w:eastAsia="cs-CZ"/>
        </w:rPr>
        <w:t>NNOU SPOLUPRACÍ (3 877 mil. Kč).</w:t>
      </w:r>
    </w:p>
    <w:p w:rsidR="00A47289" w:rsidRDefault="00A47289" w:rsidP="00A47289">
      <w:pPr>
        <w:pStyle w:val="Titulek"/>
      </w:pPr>
      <w:bookmarkStart w:id="9" w:name="_Toc499634604"/>
      <w:bookmarkStart w:id="10" w:name="_Toc500492751"/>
      <w:r>
        <w:t xml:space="preserve">Graf </w:t>
      </w:r>
      <w:r w:rsidR="001E3ADD">
        <w:fldChar w:fldCharType="begin"/>
      </w:r>
      <w:r w:rsidR="001E3ADD">
        <w:instrText xml:space="preserve"> SEQ Graf \* ARABIC </w:instrText>
      </w:r>
      <w:r w:rsidR="001E3ADD">
        <w:fldChar w:fldCharType="separate"/>
      </w:r>
      <w:r w:rsidR="00B545EF">
        <w:rPr>
          <w:noProof/>
        </w:rPr>
        <w:t>1</w:t>
      </w:r>
      <w:r w:rsidR="001E3ADD">
        <w:rPr>
          <w:noProof/>
        </w:rPr>
        <w:fldChar w:fldCharType="end"/>
      </w:r>
      <w:r>
        <w:t xml:space="preserve"> - F</w:t>
      </w:r>
      <w:r w:rsidR="00462EAE">
        <w:t xml:space="preserve">inancování cílů </w:t>
      </w:r>
      <w:r w:rsidRPr="004A0234">
        <w:t>RIS3 strategie</w:t>
      </w:r>
      <w:bookmarkEnd w:id="9"/>
      <w:r w:rsidR="000D64DA">
        <w:t xml:space="preserve"> – vývoj a srovnání vůči plánu RIS3</w:t>
      </w:r>
      <w:bookmarkEnd w:id="10"/>
    </w:p>
    <w:p w:rsidR="00A47289" w:rsidRDefault="000D64DA" w:rsidP="000D64DA">
      <w:pPr>
        <w:jc w:val="center"/>
      </w:pPr>
      <w:r>
        <w:rPr>
          <w:noProof/>
          <w:lang w:eastAsia="cs-CZ"/>
        </w:rPr>
        <w:drawing>
          <wp:inline distT="0" distB="0" distL="0" distR="0" wp14:anchorId="5E76768F" wp14:editId="01AF4124">
            <wp:extent cx="5445211" cy="3253946"/>
            <wp:effectExtent l="0" t="0" r="22225" b="2286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64DA" w:rsidRDefault="000D64DA" w:rsidP="00B42AE1">
      <w:pPr>
        <w:rPr>
          <w:b/>
          <w:color w:val="365F91" w:themeColor="accent1" w:themeShade="BF"/>
          <w:sz w:val="24"/>
          <w:szCs w:val="24"/>
        </w:rPr>
      </w:pPr>
    </w:p>
    <w:p w:rsidR="00A47289" w:rsidRPr="00B42AE1" w:rsidRDefault="000D64DA" w:rsidP="00B42AE1">
      <w:pPr>
        <w:rPr>
          <w:b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Financování</w:t>
      </w:r>
      <w:r w:rsidR="00A67223">
        <w:rPr>
          <w:b/>
          <w:color w:val="365F91" w:themeColor="accent1" w:themeShade="BF"/>
          <w:sz w:val="24"/>
          <w:szCs w:val="24"/>
        </w:rPr>
        <w:t xml:space="preserve"> </w:t>
      </w:r>
      <w:r w:rsidR="00A47289" w:rsidRPr="00B42AE1">
        <w:rPr>
          <w:b/>
          <w:color w:val="365F91" w:themeColor="accent1" w:themeShade="BF"/>
          <w:sz w:val="24"/>
          <w:szCs w:val="24"/>
        </w:rPr>
        <w:t xml:space="preserve">aplikačních odvětví RIS3 </w:t>
      </w:r>
      <w:r w:rsidR="00A67223">
        <w:rPr>
          <w:b/>
          <w:color w:val="365F91" w:themeColor="accent1" w:themeShade="BF"/>
          <w:sz w:val="24"/>
          <w:szCs w:val="24"/>
        </w:rPr>
        <w:t>strategie</w:t>
      </w:r>
    </w:p>
    <w:p w:rsidR="00B42AE1" w:rsidRDefault="00B42AE1" w:rsidP="00B42AE1">
      <w:pPr>
        <w:ind w:firstLine="708"/>
        <w:jc w:val="both"/>
      </w:pPr>
      <w:r w:rsidRPr="00564348">
        <w:rPr>
          <w:b/>
        </w:rPr>
        <w:t>Nejvíce</w:t>
      </w:r>
      <w:r>
        <w:t xml:space="preserve"> </w:t>
      </w:r>
      <w:r w:rsidRPr="00564348">
        <w:rPr>
          <w:b/>
        </w:rPr>
        <w:t xml:space="preserve">podpořenými aplikačními odvětvími </w:t>
      </w:r>
      <w:r w:rsidRPr="00A002BA">
        <w:t>(Graf 2)</w:t>
      </w:r>
      <w:r>
        <w:rPr>
          <w:b/>
        </w:rPr>
        <w:t xml:space="preserve"> </w:t>
      </w:r>
      <w:r w:rsidRPr="009E319A">
        <w:t xml:space="preserve">v projektech OP PIK navázaných na </w:t>
      </w:r>
      <w:r>
        <w:t xml:space="preserve">Národní RIS3 strategii jsou Strojírenství - </w:t>
      </w:r>
      <w:proofErr w:type="spellStart"/>
      <w:r>
        <w:t>mechatronika</w:t>
      </w:r>
      <w:proofErr w:type="spellEnd"/>
      <w:r>
        <w:t xml:space="preserve"> (9,80 mld. Kč), Digitální ekonomika a digitální obsah (9,60 mld. Kč) a Elektronika a elektrotechnika (3,95 mld. Kč). Mezi velmi málo podpořená aplikační odvětví prozatím patří </w:t>
      </w:r>
      <w:r w:rsidRPr="009E319A">
        <w:t>Udržitelné hospodaření s přírodními zdroji</w:t>
      </w:r>
      <w:r>
        <w:t xml:space="preserve">, </w:t>
      </w:r>
      <w:r w:rsidRPr="009E319A">
        <w:t>Udržitelné zemědělství a lesnictví</w:t>
      </w:r>
      <w:r>
        <w:t xml:space="preserve"> a Bezpečnostní výzkum - </w:t>
      </w:r>
      <w:r w:rsidRPr="009E319A">
        <w:t>Výzkum ve zdravotnictví</w:t>
      </w:r>
      <w:r>
        <w:t xml:space="preserve">. </w:t>
      </w:r>
      <w:r w:rsidRPr="00564348">
        <w:rPr>
          <w:b/>
        </w:rPr>
        <w:t>Výraznější odchylky ve srovnání s</w:t>
      </w:r>
      <w:r>
        <w:rPr>
          <w:b/>
        </w:rPr>
        <w:t> </w:t>
      </w:r>
      <w:r>
        <w:t xml:space="preserve">ekvivalentními výzvami </w:t>
      </w:r>
      <w:r w:rsidRPr="00564348">
        <w:rPr>
          <w:b/>
        </w:rPr>
        <w:t>OP PI</w:t>
      </w:r>
      <w:r>
        <w:t xml:space="preserve"> lze zatím pozorovat pouze u aplikačního odvětví Energetika. Jde tu však jen o poměrně malý objem financí.</w:t>
      </w:r>
    </w:p>
    <w:p w:rsidR="00A47289" w:rsidRDefault="00A47289" w:rsidP="00A47289">
      <w:pPr>
        <w:pStyle w:val="Titulek"/>
      </w:pPr>
      <w:bookmarkStart w:id="11" w:name="_Toc500492752"/>
      <w:r>
        <w:lastRenderedPageBreak/>
        <w:t xml:space="preserve">Graf </w:t>
      </w:r>
      <w:r w:rsidR="001E3ADD">
        <w:fldChar w:fldCharType="begin"/>
      </w:r>
      <w:r w:rsidR="001E3ADD">
        <w:instrText xml:space="preserve"> SEQ Graf \* ARABIC </w:instrText>
      </w:r>
      <w:r w:rsidR="001E3ADD">
        <w:fldChar w:fldCharType="separate"/>
      </w:r>
      <w:r w:rsidR="00B545EF">
        <w:rPr>
          <w:noProof/>
        </w:rPr>
        <w:t>2</w:t>
      </w:r>
      <w:r w:rsidR="001E3ADD">
        <w:rPr>
          <w:noProof/>
        </w:rPr>
        <w:fldChar w:fldCharType="end"/>
      </w:r>
      <w:r>
        <w:t xml:space="preserve"> – F</w:t>
      </w:r>
      <w:r w:rsidR="00A67223">
        <w:t xml:space="preserve">inancování aplikačních odvětví </w:t>
      </w:r>
      <w:r>
        <w:t>RIS3</w:t>
      </w:r>
      <w:r w:rsidR="00A67223">
        <w:t xml:space="preserve"> strategie</w:t>
      </w:r>
      <w:r w:rsidR="0043092D">
        <w:t xml:space="preserve"> v OP PIK</w:t>
      </w:r>
      <w:r w:rsidR="00A67223">
        <w:t xml:space="preserve"> (</w:t>
      </w:r>
      <w:r w:rsidR="0043092D">
        <w:t>v adekvátním srovnání s </w:t>
      </w:r>
      <w:proofErr w:type="gramStart"/>
      <w:r w:rsidR="00A67223">
        <w:t>OP</w:t>
      </w:r>
      <w:proofErr w:type="gramEnd"/>
      <w:r w:rsidR="00A67223">
        <w:t xml:space="preserve"> PI)</w:t>
      </w:r>
      <w:bookmarkEnd w:id="11"/>
    </w:p>
    <w:p w:rsidR="00A47289" w:rsidRDefault="00A67223" w:rsidP="00461A4D">
      <w:pPr>
        <w:jc w:val="center"/>
      </w:pPr>
      <w:r>
        <w:rPr>
          <w:noProof/>
          <w:lang w:eastAsia="cs-CZ"/>
        </w:rPr>
        <w:drawing>
          <wp:inline distT="0" distB="0" distL="0" distR="0" wp14:anchorId="348867ED" wp14:editId="7007C915">
            <wp:extent cx="5436973" cy="6458465"/>
            <wp:effectExtent l="0" t="0" r="11430" b="1905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7289" w:rsidRDefault="00A47289" w:rsidP="00A47289">
      <w:pPr>
        <w:pStyle w:val="NadpisurovenI"/>
      </w:pPr>
      <w:bookmarkStart w:id="12" w:name="_Toc499634597"/>
      <w:bookmarkStart w:id="13" w:name="_Toc500492702"/>
      <w:r>
        <w:t>Kraje</w:t>
      </w:r>
      <w:bookmarkEnd w:id="12"/>
      <w:bookmarkEnd w:id="13"/>
    </w:p>
    <w:p w:rsidR="002C07AD" w:rsidRDefault="0043092D" w:rsidP="0043092D">
      <w:pPr>
        <w:ind w:firstLine="708"/>
        <w:jc w:val="both"/>
      </w:pPr>
      <w:r>
        <w:rPr>
          <w:b/>
        </w:rPr>
        <w:t xml:space="preserve">Z hlediska financování </w:t>
      </w:r>
      <w:r w:rsidR="002C07AD" w:rsidRPr="00A47289">
        <w:t>(</w:t>
      </w:r>
      <w:r w:rsidR="002C07AD" w:rsidRPr="0043092D">
        <w:t>Graf 3</w:t>
      </w:r>
      <w:r w:rsidR="002C07AD">
        <w:t xml:space="preserve">) </w:t>
      </w:r>
      <w:r>
        <w:rPr>
          <w:b/>
        </w:rPr>
        <w:t xml:space="preserve">je dosud nejúspěšnějším </w:t>
      </w:r>
      <w:r w:rsidR="00B42AE1" w:rsidRPr="00A47289">
        <w:rPr>
          <w:b/>
        </w:rPr>
        <w:t>krajem</w:t>
      </w:r>
      <w:r w:rsidR="00B42AE1" w:rsidRPr="00A47289">
        <w:t xml:space="preserve"> </w:t>
      </w:r>
      <w:r w:rsidR="002C07AD">
        <w:t>(</w:t>
      </w:r>
      <w:r w:rsidR="00B42AE1" w:rsidRPr="00A47289">
        <w:t>v projektech OP PIK navázaných na Národní RIS3 strategii</w:t>
      </w:r>
      <w:r w:rsidR="002C07AD">
        <w:t>)</w:t>
      </w:r>
      <w:r w:rsidR="00B42AE1" w:rsidRPr="00A47289">
        <w:t xml:space="preserve"> jednoznačně </w:t>
      </w:r>
      <w:r w:rsidR="00B42AE1" w:rsidRPr="00A47289">
        <w:rPr>
          <w:b/>
        </w:rPr>
        <w:t>Jihomoravský kraj (</w:t>
      </w:r>
      <w:r w:rsidR="00B42AE1" w:rsidRPr="00A47289">
        <w:t>8,81 mld. Kč), na druhém místě je kraj Středočeský (6,82</w:t>
      </w:r>
      <w:r w:rsidR="00B42AE1">
        <w:t> </w:t>
      </w:r>
      <w:r w:rsidR="00B42AE1" w:rsidRPr="00A47289">
        <w:t>mld. Kč) a na třetím</w:t>
      </w:r>
      <w:r w:rsidR="002C07AD">
        <w:t xml:space="preserve"> místě</w:t>
      </w:r>
      <w:r w:rsidR="00B42AE1" w:rsidRPr="00A47289">
        <w:t xml:space="preserve"> kraj Zlínský (3,91 mld. Kč). Nejméně podpořeným krajem je prozatím kraj Karlovarský (0,40 mld. Kč). Výzvy OP PIK nej</w:t>
      </w:r>
      <w:r w:rsidR="002C07AD">
        <w:t>sou vyhlašovány pro Kraj Praha.</w:t>
      </w:r>
    </w:p>
    <w:p w:rsidR="00B42AE1" w:rsidRDefault="00B42AE1" w:rsidP="0043092D">
      <w:pPr>
        <w:ind w:firstLine="708"/>
        <w:jc w:val="both"/>
      </w:pPr>
      <w:r w:rsidRPr="00A47289">
        <w:t xml:space="preserve">V projektech OP PIK navázaných na Národní RIS3 strategii </w:t>
      </w:r>
      <w:r w:rsidR="002C07AD">
        <w:t xml:space="preserve">jde podpora aplikačních odvětví </w:t>
      </w:r>
      <w:r w:rsidRPr="00A47289">
        <w:rPr>
          <w:b/>
        </w:rPr>
        <w:t xml:space="preserve">Strojírenství – </w:t>
      </w:r>
      <w:proofErr w:type="spellStart"/>
      <w:r w:rsidRPr="00A47289">
        <w:rPr>
          <w:b/>
        </w:rPr>
        <w:t>mechatronika</w:t>
      </w:r>
      <w:proofErr w:type="spellEnd"/>
      <w:r w:rsidRPr="00A47289">
        <w:t xml:space="preserve"> a </w:t>
      </w:r>
      <w:r w:rsidRPr="00A47289">
        <w:rPr>
          <w:b/>
        </w:rPr>
        <w:t>Digitální ekonomika a digitální obsah</w:t>
      </w:r>
      <w:r w:rsidRPr="00A47289">
        <w:t xml:space="preserve"> </w:t>
      </w:r>
      <w:r w:rsidR="002C07AD">
        <w:t xml:space="preserve">(Graf 3) </w:t>
      </w:r>
      <w:r w:rsidRPr="00A47289">
        <w:t xml:space="preserve">napříč </w:t>
      </w:r>
      <w:r w:rsidRPr="00A47289">
        <w:rPr>
          <w:b/>
        </w:rPr>
        <w:t>všemi kraji ČR</w:t>
      </w:r>
      <w:r w:rsidRPr="00A47289">
        <w:t xml:space="preserve">. Obě odvětví jsou nejvíce financována v Jihomoravském kraji (1,45 mld. Kč a 4,20 mld. Kč). Aplikační </w:t>
      </w:r>
      <w:r w:rsidRPr="00A47289">
        <w:lastRenderedPageBreak/>
        <w:t xml:space="preserve">odvětví </w:t>
      </w:r>
      <w:proofErr w:type="spellStart"/>
      <w:r w:rsidRPr="00A47289">
        <w:t>Automotive</w:t>
      </w:r>
      <w:proofErr w:type="spellEnd"/>
      <w:r w:rsidRPr="00A47289">
        <w:t xml:space="preserve"> je nejvíce podpořeno ve Středočeském (0,93 mld. Kč) a Zlínském (0,80 mld. Kč) kraji. Aplikační odvětví Hutnictví je nejvíce podpořeno v Ústeckém kraji (0,67 mld. Kč) a Letecký a kosmický průmysl ve Středočeském kraji (0,60 mld. Kč</w:t>
      </w:r>
      <w:r>
        <w:t>).</w:t>
      </w:r>
    </w:p>
    <w:p w:rsidR="00A47289" w:rsidRDefault="00A47289" w:rsidP="00A47289">
      <w:pPr>
        <w:pStyle w:val="Titulek"/>
      </w:pPr>
      <w:bookmarkStart w:id="14" w:name="_Toc500492753"/>
      <w:r>
        <w:t xml:space="preserve">Graf </w:t>
      </w:r>
      <w:r w:rsidR="001E3ADD">
        <w:fldChar w:fldCharType="begin"/>
      </w:r>
      <w:r w:rsidR="001E3ADD">
        <w:instrText xml:space="preserve"> SEQ Graf \* ARABIC </w:instrText>
      </w:r>
      <w:r w:rsidR="001E3ADD">
        <w:fldChar w:fldCharType="separate"/>
      </w:r>
      <w:r w:rsidR="00B545EF">
        <w:rPr>
          <w:noProof/>
        </w:rPr>
        <w:t>3</w:t>
      </w:r>
      <w:r w:rsidR="001E3ADD">
        <w:rPr>
          <w:noProof/>
        </w:rPr>
        <w:fldChar w:fldCharType="end"/>
      </w:r>
      <w:r>
        <w:t xml:space="preserve"> – </w:t>
      </w:r>
      <w:r w:rsidRPr="0040065E">
        <w:t>Rozložení financování krajů ČR</w:t>
      </w:r>
      <w:r w:rsidR="002C07AD">
        <w:t xml:space="preserve"> ve vztahu k podpořeným aplikačním odvětvím</w:t>
      </w:r>
      <w:bookmarkEnd w:id="14"/>
    </w:p>
    <w:p w:rsidR="00A47289" w:rsidRDefault="0043092D" w:rsidP="0043092D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 wp14:anchorId="69343172" wp14:editId="1259C21A">
            <wp:extent cx="5577017" cy="7850659"/>
            <wp:effectExtent l="0" t="0" r="24130" b="17145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47289" w:rsidRDefault="00A47289" w:rsidP="00A47289">
      <w:pPr>
        <w:pStyle w:val="Bezmezer"/>
      </w:pPr>
    </w:p>
    <w:p w:rsidR="002E603D" w:rsidRDefault="002E603D" w:rsidP="002E603D">
      <w:pPr>
        <w:pStyle w:val="NadpisurovenI"/>
      </w:pPr>
      <w:bookmarkStart w:id="15" w:name="_Toc499634593"/>
      <w:bookmarkStart w:id="16" w:name="_Toc500492703"/>
      <w:r>
        <w:lastRenderedPageBreak/>
        <w:t>Podniky</w:t>
      </w:r>
      <w:bookmarkEnd w:id="15"/>
      <w:bookmarkEnd w:id="16"/>
    </w:p>
    <w:p w:rsidR="002E603D" w:rsidRDefault="002E603D" w:rsidP="002E603D">
      <w:pPr>
        <w:ind w:firstLine="708"/>
        <w:jc w:val="both"/>
      </w:pPr>
      <w:bookmarkStart w:id="17" w:name="_Toc499634594"/>
      <w:r w:rsidRPr="00226929">
        <w:rPr>
          <w:b/>
        </w:rPr>
        <w:t xml:space="preserve">Podpora malých a středních podniků ve srovnání s velkými podniky </w:t>
      </w:r>
      <w:r w:rsidR="00461A4D">
        <w:t xml:space="preserve">(Graf </w:t>
      </w:r>
      <w:r w:rsidR="002C07AD">
        <w:t>4</w:t>
      </w:r>
      <w:r w:rsidR="00461A4D">
        <w:t xml:space="preserve">) </w:t>
      </w:r>
      <w:r>
        <w:t xml:space="preserve">je v projektech OP PIK navázaných na Národní RIS3 strategii poměrně </w:t>
      </w:r>
      <w:r w:rsidR="00461A4D">
        <w:rPr>
          <w:b/>
        </w:rPr>
        <w:t>vyvážená.</w:t>
      </w:r>
      <w:r>
        <w:t xml:space="preserve"> Obdobně tomu bylo i u ekvivalentních výzev OP PI.</w:t>
      </w:r>
      <w:r w:rsidR="00461A4D">
        <w:t xml:space="preserve"> </w:t>
      </w:r>
    </w:p>
    <w:p w:rsidR="002E603D" w:rsidRDefault="002E603D" w:rsidP="002E603D">
      <w:pPr>
        <w:pStyle w:val="Titulek"/>
      </w:pPr>
      <w:bookmarkStart w:id="18" w:name="_Toc499634607"/>
      <w:bookmarkStart w:id="19" w:name="_Toc500492754"/>
      <w:bookmarkEnd w:id="17"/>
      <w:r>
        <w:t xml:space="preserve">Graf </w:t>
      </w:r>
      <w:r w:rsidR="001E3ADD">
        <w:fldChar w:fldCharType="begin"/>
      </w:r>
      <w:r w:rsidR="001E3ADD">
        <w:instrText xml:space="preserve"> SEQ Graf \* ARABIC </w:instrText>
      </w:r>
      <w:r w:rsidR="001E3ADD">
        <w:fldChar w:fldCharType="separate"/>
      </w:r>
      <w:r w:rsidR="00B545EF">
        <w:rPr>
          <w:noProof/>
        </w:rPr>
        <w:t>4</w:t>
      </w:r>
      <w:r w:rsidR="001E3ADD">
        <w:rPr>
          <w:noProof/>
        </w:rPr>
        <w:fldChar w:fldCharType="end"/>
      </w:r>
      <w:r w:rsidR="002C07AD">
        <w:t xml:space="preserve"> – Velikost podniků ve vztahu k</w:t>
      </w:r>
      <w:r>
        <w:t xml:space="preserve"> aplikační</w:t>
      </w:r>
      <w:r w:rsidR="002C07AD">
        <w:t>m</w:t>
      </w:r>
      <w:r>
        <w:t xml:space="preserve"> odvětví</w:t>
      </w:r>
      <w:bookmarkEnd w:id="18"/>
      <w:r w:rsidR="00D13281">
        <w:t>m</w:t>
      </w:r>
      <w:r w:rsidR="002C07AD">
        <w:t xml:space="preserve"> </w:t>
      </w:r>
      <w:r>
        <w:t>RIS3</w:t>
      </w:r>
      <w:r w:rsidR="002C07AD">
        <w:t xml:space="preserve"> strategie</w:t>
      </w:r>
      <w:bookmarkEnd w:id="19"/>
    </w:p>
    <w:p w:rsidR="002E603D" w:rsidRDefault="002E603D" w:rsidP="002E603D">
      <w:pPr>
        <w:pStyle w:val="Bezmezer"/>
      </w:pPr>
      <w:r>
        <w:rPr>
          <w:noProof/>
          <w:lang w:eastAsia="cs-CZ"/>
        </w:rPr>
        <w:drawing>
          <wp:inline distT="0" distB="0" distL="0" distR="0" wp14:anchorId="2F17BBE6" wp14:editId="3C902F50">
            <wp:extent cx="5601730" cy="7628238"/>
            <wp:effectExtent l="0" t="0" r="18415" b="1143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E603D" w:rsidRDefault="002E603D" w:rsidP="002E603D">
      <w:pPr>
        <w:jc w:val="both"/>
        <w:rPr>
          <w:b/>
        </w:rPr>
      </w:pPr>
    </w:p>
    <w:bookmarkEnd w:id="0"/>
    <w:p w:rsidR="004A2D49" w:rsidRDefault="004A2D49" w:rsidP="004A2D49">
      <w:pPr>
        <w:pStyle w:val="NadpisurovenI"/>
      </w:pPr>
    </w:p>
    <w:p w:rsidR="002C07AD" w:rsidRDefault="002C07AD" w:rsidP="002C07AD">
      <w:pPr>
        <w:ind w:firstLine="708"/>
        <w:jc w:val="both"/>
      </w:pPr>
      <w:r>
        <w:t xml:space="preserve">Mezi doposud </w:t>
      </w:r>
      <w:r w:rsidRPr="001149BF">
        <w:rPr>
          <w:b/>
        </w:rPr>
        <w:t>nejvíce podpořené podniky</w:t>
      </w:r>
      <w:r>
        <w:t xml:space="preserve"> v rámci projektů </w:t>
      </w:r>
      <w:r w:rsidRPr="001149BF">
        <w:rPr>
          <w:b/>
        </w:rPr>
        <w:t>OP PIK</w:t>
      </w:r>
      <w:r>
        <w:t xml:space="preserve"> navázaných na Národní RIS3 strategii patří </w:t>
      </w:r>
      <w:proofErr w:type="spellStart"/>
      <w:r w:rsidRPr="0033368D">
        <w:t>Constellium</w:t>
      </w:r>
      <w:proofErr w:type="spellEnd"/>
      <w:r w:rsidRPr="0033368D">
        <w:t xml:space="preserve"> </w:t>
      </w:r>
      <w:proofErr w:type="spellStart"/>
      <w:r w:rsidRPr="0033368D">
        <w:t>Extrusions</w:t>
      </w:r>
      <w:proofErr w:type="spellEnd"/>
      <w:r w:rsidRPr="0033368D">
        <w:t xml:space="preserve"> Děčín s.r.o.</w:t>
      </w:r>
      <w:r>
        <w:t xml:space="preserve">, </w:t>
      </w:r>
      <w:r w:rsidRPr="0033368D">
        <w:t>AERO Vodochody AEROSPACE a.s.</w:t>
      </w:r>
      <w:r>
        <w:t xml:space="preserve">, </w:t>
      </w:r>
      <w:r w:rsidRPr="0033368D">
        <w:t>KOVOVÝROBA HOFFMANN, s.r.o.</w:t>
      </w:r>
      <w:r>
        <w:t xml:space="preserve">, </w:t>
      </w:r>
      <w:r w:rsidRPr="0033368D">
        <w:t xml:space="preserve">ČEZ ICT </w:t>
      </w:r>
      <w:proofErr w:type="spellStart"/>
      <w:r w:rsidRPr="0033368D">
        <w:t>Services</w:t>
      </w:r>
      <w:proofErr w:type="spellEnd"/>
      <w:r w:rsidRPr="0033368D">
        <w:t>, a. s.</w:t>
      </w:r>
      <w:r>
        <w:t xml:space="preserve"> a </w:t>
      </w:r>
      <w:r w:rsidRPr="0033368D">
        <w:t>Pekárna Zelená louka, a.s.</w:t>
      </w:r>
      <w:r>
        <w:t xml:space="preserve"> Ve všech případech se jedná o </w:t>
      </w:r>
      <w:r w:rsidRPr="001149BF">
        <w:rPr>
          <w:b/>
        </w:rPr>
        <w:t>velké podniky</w:t>
      </w:r>
      <w:r>
        <w:t xml:space="preserve">. Při </w:t>
      </w:r>
      <w:r w:rsidRPr="001149BF">
        <w:rPr>
          <w:b/>
        </w:rPr>
        <w:t>srovnání OP PI</w:t>
      </w:r>
      <w:r>
        <w:t xml:space="preserve"> a </w:t>
      </w:r>
      <w:r w:rsidRPr="001149BF">
        <w:rPr>
          <w:b/>
        </w:rPr>
        <w:t>OP PIK</w:t>
      </w:r>
      <w:r>
        <w:t xml:space="preserve"> se dále mezi </w:t>
      </w:r>
      <w:r w:rsidRPr="001149BF">
        <w:rPr>
          <w:b/>
        </w:rPr>
        <w:t>deseti nejvíce</w:t>
      </w:r>
      <w:r>
        <w:t xml:space="preserve"> podpořenými podniky z hlediska  Národní RIS3 strategie </w:t>
      </w:r>
      <w:r w:rsidRPr="001149BF">
        <w:rPr>
          <w:b/>
        </w:rPr>
        <w:t>opakuje jediný podnik</w:t>
      </w:r>
      <w:r>
        <w:t xml:space="preserve">, a to velký podnik </w:t>
      </w:r>
      <w:r w:rsidRPr="00D02965">
        <w:t>JUTA a.s.</w:t>
      </w:r>
      <w:r>
        <w:t xml:space="preserve"> Objemy financí jsou však prozatím u </w:t>
      </w:r>
      <w:proofErr w:type="gramStart"/>
      <w:r>
        <w:t>OP</w:t>
      </w:r>
      <w:proofErr w:type="gramEnd"/>
      <w:r>
        <w:t xml:space="preserve"> PIK výrazně nižší.</w:t>
      </w:r>
    </w:p>
    <w:p w:rsidR="002C07AD" w:rsidRDefault="002C07AD" w:rsidP="002C07AD">
      <w:pPr>
        <w:ind w:firstLine="708"/>
        <w:jc w:val="both"/>
      </w:pPr>
      <w:r w:rsidRPr="002E603D">
        <w:t xml:space="preserve">Malé a střední podniky dominují (Graf </w:t>
      </w:r>
      <w:r>
        <w:t>4</w:t>
      </w:r>
      <w:r w:rsidRPr="002E603D">
        <w:t xml:space="preserve">) v aplikačních odvětvích Digitální ekonomika a digitální obsah, Gumárenství a </w:t>
      </w:r>
      <w:proofErr w:type="spellStart"/>
      <w:r w:rsidRPr="002E603D">
        <w:t>plastikářství</w:t>
      </w:r>
      <w:proofErr w:type="spellEnd"/>
      <w:r w:rsidRPr="002E603D">
        <w:t xml:space="preserve">, Elektronika a elektrotechnika, a také Strojírenství- </w:t>
      </w:r>
      <w:proofErr w:type="spellStart"/>
      <w:r w:rsidRPr="002E603D">
        <w:t>mechatronika</w:t>
      </w:r>
      <w:proofErr w:type="spellEnd"/>
      <w:r w:rsidRPr="002E603D">
        <w:t xml:space="preserve">. Velké podniky dominují převážně v aplikačním odvětví </w:t>
      </w:r>
      <w:proofErr w:type="spellStart"/>
      <w:r w:rsidRPr="002E603D">
        <w:t>Automotive</w:t>
      </w:r>
      <w:proofErr w:type="spellEnd"/>
      <w:r w:rsidRPr="002E603D">
        <w:t>, dále také v Železničních a kolejových vozidlech a Textilu.</w:t>
      </w:r>
    </w:p>
    <w:p w:rsidR="002C07AD" w:rsidRDefault="002C07AD" w:rsidP="004A2D49">
      <w:pPr>
        <w:pStyle w:val="NadpisurovenI"/>
        <w:sectPr w:rsidR="002C07AD" w:rsidSect="004A2D49">
          <w:footerReference w:type="default" r:id="rId14"/>
          <w:footerReference w:type="first" r:id="rId15"/>
          <w:pgSz w:w="11907" w:h="16840" w:code="9"/>
          <w:pgMar w:top="1134" w:right="1418" w:bottom="1276" w:left="1418" w:header="709" w:footer="403" w:gutter="0"/>
          <w:pgNumType w:start="0"/>
          <w:cols w:space="708"/>
          <w:titlePg/>
          <w:docGrid w:linePitch="360"/>
        </w:sectPr>
      </w:pPr>
    </w:p>
    <w:p w:rsidR="004A2D49" w:rsidRDefault="004A2D49" w:rsidP="004A2D49">
      <w:pPr>
        <w:pStyle w:val="NadpisurovenI"/>
      </w:pPr>
      <w:bookmarkStart w:id="20" w:name="_Toc500492704"/>
      <w:r>
        <w:lastRenderedPageBreak/>
        <w:t>Sestava monitorovacích indikátorů</w:t>
      </w:r>
      <w:bookmarkEnd w:id="20"/>
    </w:p>
    <w:p w:rsidR="003A5799" w:rsidRDefault="003A5799" w:rsidP="003B4379">
      <w:pPr>
        <w:jc w:val="both"/>
      </w:pPr>
      <w:r>
        <w:t>Z věcného hlediska je plnění cílů sledováno</w:t>
      </w:r>
      <w:r w:rsidR="003B4379">
        <w:t xml:space="preserve"> na </w:t>
      </w:r>
      <w:r w:rsidR="003B4379" w:rsidRPr="003B4379">
        <w:rPr>
          <w:b/>
        </w:rPr>
        <w:t>průběžných hodnotách</w:t>
      </w:r>
      <w:r w:rsidRPr="003B4379">
        <w:rPr>
          <w:b/>
        </w:rPr>
        <w:t xml:space="preserve"> </w:t>
      </w:r>
      <w:r w:rsidR="003B4379" w:rsidRPr="003B4379">
        <w:rPr>
          <w:b/>
        </w:rPr>
        <w:t>indikátorů</w:t>
      </w:r>
      <w:r w:rsidR="002E603D">
        <w:rPr>
          <w:rStyle w:val="Znakapoznpodarou"/>
          <w:b/>
        </w:rPr>
        <w:footnoteReference w:id="2"/>
      </w:r>
      <w:r w:rsidR="003B4379">
        <w:t xml:space="preserve">, které byly s ohledem na zaměření Národní RIS3 strategie vybrány z indikátorové sestavy operačního programu. Tabulka 2 dokládá, že věcné plnění (při srovnání finančního plnění) je ve většině případů </w:t>
      </w:r>
      <w:r w:rsidR="003B4379" w:rsidRPr="003B4379">
        <w:rPr>
          <w:b/>
        </w:rPr>
        <w:t>na velmi dobré úrovni</w:t>
      </w:r>
      <w:r w:rsidR="003B4379">
        <w:t xml:space="preserve">, některé ukazatele již nyní překračují svou </w:t>
      </w:r>
      <w:r w:rsidR="004F7408">
        <w:t>cílovou</w:t>
      </w:r>
      <w:r w:rsidR="003B4379">
        <w:t xml:space="preserve"> hodnotu.</w:t>
      </w:r>
    </w:p>
    <w:p w:rsidR="003A5799" w:rsidRDefault="003A5799" w:rsidP="003A5799">
      <w:pPr>
        <w:pStyle w:val="Titulek"/>
      </w:pPr>
      <w:bookmarkStart w:id="21" w:name="_Toc500492706"/>
      <w:r>
        <w:t xml:space="preserve">Tabulka </w:t>
      </w:r>
      <w:r w:rsidR="001E3ADD">
        <w:fldChar w:fldCharType="begin"/>
      </w:r>
      <w:r w:rsidR="001E3ADD">
        <w:instrText xml:space="preserve"> SEQ Tabulka \* ARABIC </w:instrText>
      </w:r>
      <w:r w:rsidR="001E3ADD">
        <w:fldChar w:fldCharType="separate"/>
      </w:r>
      <w:r w:rsidR="00B545EF">
        <w:rPr>
          <w:noProof/>
        </w:rPr>
        <w:t>2</w:t>
      </w:r>
      <w:r w:rsidR="001E3ADD">
        <w:rPr>
          <w:noProof/>
        </w:rPr>
        <w:fldChar w:fldCharType="end"/>
      </w:r>
      <w:r>
        <w:t xml:space="preserve"> – Sestava monitorovacích indikátorů NRIS3</w:t>
      </w:r>
      <w:bookmarkEnd w:id="21"/>
    </w:p>
    <w:tbl>
      <w:tblPr>
        <w:tblW w:w="1593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849"/>
        <w:gridCol w:w="851"/>
        <w:gridCol w:w="1843"/>
        <w:gridCol w:w="992"/>
        <w:gridCol w:w="992"/>
        <w:gridCol w:w="851"/>
        <w:gridCol w:w="992"/>
        <w:gridCol w:w="1276"/>
        <w:gridCol w:w="1275"/>
        <w:gridCol w:w="1134"/>
        <w:gridCol w:w="1134"/>
        <w:gridCol w:w="993"/>
        <w:gridCol w:w="836"/>
        <w:gridCol w:w="865"/>
      </w:tblGrid>
      <w:tr w:rsidR="004A2D49" w:rsidRPr="0023660C" w:rsidTr="00D13281">
        <w:trPr>
          <w:trHeight w:val="659"/>
          <w:tblHeader/>
          <w:jc w:val="center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</w:pPr>
            <w:bookmarkStart w:id="22" w:name="RANGE!A1:S26"/>
            <w:r w:rsidRPr="0023660C"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  <w:t>Priorita/oblast/specifický cíl RIS3</w:t>
            </w:r>
            <w:bookmarkEnd w:id="22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  <w:t>Programy ESI fondů / PP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  <w:t>Indikátory</w:t>
            </w:r>
          </w:p>
        </w:tc>
      </w:tr>
      <w:tr w:rsidR="004A2D49" w:rsidRPr="0023660C" w:rsidTr="00D13281">
        <w:trPr>
          <w:trHeight w:val="521"/>
          <w:tblHeader/>
          <w:jc w:val="center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Program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Kód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Název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Měrná jednotka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Výchozí hodnota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31.12. 2015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31.12. 2016</w:t>
            </w:r>
            <w:proofErr w:type="gram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                                                                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30.5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. 2017                   (vazba pouze na SC RIS3)                                                                                    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                                                                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30.5. 2017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                                                    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                                                                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30.10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. 2017                   (vazba pouze na SC RIS3)                                                                                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Dosažená hodnota                                                                  k </w:t>
            </w: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30.10. 2017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                                                         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 xml:space="preserve">Cílová hodnota                                                  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Míra plnění</w:t>
            </w:r>
          </w:p>
        </w:tc>
      </w:tr>
      <w:tr w:rsidR="004A2D49" w:rsidRPr="0023660C" w:rsidTr="00D13281">
        <w:trPr>
          <w:trHeight w:val="438"/>
          <w:tblHeader/>
          <w:jc w:val="center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365F91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výzva / program podpory                                                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osa / IP / SC</w:t>
            </w: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4A2D49" w:rsidRPr="0023660C" w:rsidTr="00D13281">
        <w:trPr>
          <w:trHeight w:val="816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A.1.1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Posílit výzkumné a vývojové kapacity podniků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420                               (milník</w:t>
            </w:r>
            <w:proofErr w:type="gramEnd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709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716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988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1970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50,15%</w:t>
            </w:r>
          </w:p>
        </w:tc>
      </w:tr>
      <w:tr w:rsidR="004A2D49" w:rsidRPr="0023660C" w:rsidTr="00D13281">
        <w:trPr>
          <w:trHeight w:val="838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21610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nových přihlášených výsledků aplikovaného výzkumu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výsledky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384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488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1250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39,04%</w:t>
            </w:r>
          </w:p>
        </w:tc>
      </w:tr>
      <w:tr w:rsidR="004A2D49" w:rsidRPr="0023660C" w:rsidTr="00D13281">
        <w:trPr>
          <w:trHeight w:val="708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22501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zavedených inovací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inovace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474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1800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63,22%</w:t>
            </w:r>
          </w:p>
        </w:tc>
      </w:tr>
      <w:tr w:rsidR="004A2D49" w:rsidRPr="0023660C" w:rsidTr="00D13281">
        <w:trPr>
          <w:trHeight w:val="833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24102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nových, rozšířených či modernizovaných výzkumných pracovišť podniků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pracoviště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380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53,16%</w:t>
            </w:r>
          </w:p>
        </w:tc>
      </w:tr>
      <w:tr w:rsidR="004A2D49" w:rsidRPr="0023660C" w:rsidTr="00D13281">
        <w:trPr>
          <w:trHeight w:val="984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A.1.2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Zlepšit strategické řízení v MSP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420                               (milník</w:t>
            </w:r>
            <w:proofErr w:type="gramEnd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988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1970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50,15%</w:t>
            </w:r>
          </w:p>
        </w:tc>
      </w:tr>
      <w:tr w:rsidR="004A2D49" w:rsidRPr="0023660C" w:rsidTr="00D13281">
        <w:trPr>
          <w:trHeight w:val="966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21411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Tržby z inovované produkce jako % celkových tržeb podniků s produktovou inovací - mimo Prahy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30,599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30,4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100,65%</w:t>
            </w:r>
          </w:p>
        </w:tc>
      </w:tr>
      <w:tr w:rsidR="004A2D49" w:rsidRPr="0023660C" w:rsidTr="00D13281">
        <w:trPr>
          <w:trHeight w:val="732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22002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nových udělených patentů a dalších práv ochrany průmyslového vlastnictví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Patenty a další práva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222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700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33,14%</w:t>
            </w:r>
          </w:p>
        </w:tc>
      </w:tr>
      <w:tr w:rsidR="004A2D49" w:rsidRPr="0023660C" w:rsidTr="00D13281">
        <w:trPr>
          <w:trHeight w:val="732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A.1.3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Posílit technologickou spolupráci firem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24100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Zrekonstruované, rozšířené a nově vybudované kapacity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682,09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27843,89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</w:tr>
      <w:tr w:rsidR="004A2D49" w:rsidRPr="0023660C" w:rsidTr="00D13281">
        <w:trPr>
          <w:trHeight w:val="834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24201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Podpořená plocha určená pro provoz inovační infrastruktury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8310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8310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</w:tr>
      <w:tr w:rsidR="004A2D49" w:rsidRPr="0023660C" w:rsidTr="00D13281">
        <w:trPr>
          <w:trHeight w:val="844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21902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Společné projekty v oblasti rozvoje a internacionalizace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projekty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44,12%</w:t>
            </w:r>
          </w:p>
        </w:tc>
      </w:tr>
      <w:tr w:rsidR="004A2D49" w:rsidRPr="0023660C" w:rsidTr="00D13281">
        <w:trPr>
          <w:trHeight w:val="686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21412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 xml:space="preserve">Společné projekty </w:t>
            </w:r>
            <w:proofErr w:type="spellStart"/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VaVaI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projekty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43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133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45,11%</w:t>
            </w:r>
          </w:p>
        </w:tc>
      </w:tr>
      <w:tr w:rsidR="004A2D49" w:rsidRPr="0023660C" w:rsidTr="00D13281">
        <w:trPr>
          <w:trHeight w:val="852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A.3.3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Snížení nákladů a rizik MSP spojených se vstupem na zahraniční trhy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color w:val="000000"/>
                <w:sz w:val="16"/>
                <w:szCs w:val="16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1350                                 (milník</w:t>
            </w:r>
            <w:proofErr w:type="gramEnd"/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284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13295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2,14%</w:t>
            </w:r>
          </w:p>
        </w:tc>
      </w:tr>
      <w:tr w:rsidR="004A2D49" w:rsidRPr="0023660C" w:rsidTr="00D13281">
        <w:trPr>
          <w:trHeight w:val="808"/>
          <w:jc w:val="center"/>
        </w:trPr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21201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Počet účastí na výstavách a veletrzích v zahraničí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Účasti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1509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150,90%</w:t>
            </w:r>
          </w:p>
        </w:tc>
      </w:tr>
      <w:tr w:rsidR="004A2D49" w:rsidRPr="0023660C" w:rsidTr="00D13281">
        <w:trPr>
          <w:trHeight w:val="1017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lastRenderedPageBreak/>
              <w:t>A.3.3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Snížení nákladů a rizik MSP spojených se vstupem na zahraniční trhy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1350                                (milník</w:t>
            </w:r>
            <w:proofErr w:type="gramEnd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284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13295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3660C">
              <w:rPr>
                <w:rFonts w:cs="Arial"/>
                <w:b/>
                <w:bCs/>
                <w:color w:val="000000"/>
                <w:sz w:val="16"/>
                <w:szCs w:val="16"/>
              </w:rPr>
              <w:t>2,14%</w:t>
            </w:r>
          </w:p>
        </w:tc>
      </w:tr>
      <w:tr w:rsidR="004A2D49" w:rsidRPr="0023660C" w:rsidTr="00D13281">
        <w:trPr>
          <w:trHeight w:val="732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21201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účastí na výstavách a veletrzích v zahraničí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Účasti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840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1509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150,90%</w:t>
            </w:r>
          </w:p>
        </w:tc>
      </w:tr>
      <w:tr w:rsidR="004A2D49" w:rsidRPr="0023660C" w:rsidTr="00D13281">
        <w:trPr>
          <w:trHeight w:val="874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C.1.1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Posílit spolupráci a interakci mezi VO a aplikační sférou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420                               (milník</w:t>
            </w:r>
            <w:proofErr w:type="gramEnd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988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1970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50,15%</w:t>
            </w:r>
          </w:p>
        </w:tc>
      </w:tr>
      <w:tr w:rsidR="004A2D49" w:rsidRPr="0023660C" w:rsidTr="00D13281">
        <w:trPr>
          <w:trHeight w:val="688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21610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nových přihlášených výsledků aplikovaného výzkumu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výsledky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393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1250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42,00%</w:t>
            </w:r>
          </w:p>
        </w:tc>
      </w:tr>
      <w:tr w:rsidR="004A2D49" w:rsidRPr="0023660C" w:rsidTr="00D13281">
        <w:trPr>
          <w:trHeight w:val="840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Počet podniků spolupracujících s výzkumnými institucemi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369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2950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12,51%</w:t>
            </w:r>
          </w:p>
        </w:tc>
      </w:tr>
      <w:tr w:rsidR="004A2D49" w:rsidRPr="0023660C" w:rsidTr="00D13281">
        <w:trPr>
          <w:trHeight w:val="683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22502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Inovační vouchery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inovační vouchery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846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211,50%</w:t>
            </w:r>
          </w:p>
        </w:tc>
      </w:tr>
      <w:tr w:rsidR="004A2D49" w:rsidRPr="0023660C" w:rsidTr="00D13281">
        <w:trPr>
          <w:trHeight w:val="706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21810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Počet realizovaných transferů technologií a znalostí do praxe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Transfery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28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80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sz w:val="16"/>
                <w:szCs w:val="16"/>
                <w:lang w:eastAsia="cs-CZ"/>
              </w:rPr>
              <w:t>48,75%</w:t>
            </w:r>
          </w:p>
        </w:tc>
      </w:tr>
      <w:tr w:rsidR="004A2D49" w:rsidRPr="0023660C" w:rsidTr="00D13281">
        <w:trPr>
          <w:trHeight w:val="702"/>
          <w:jc w:val="center"/>
        </w:trPr>
        <w:tc>
          <w:tcPr>
            <w:tcW w:w="1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E.2.1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: Vyšší využívání ICT v podnikání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Počet podniků pobírajících podporu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podniky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200                          (milník</w:t>
            </w:r>
            <w:proofErr w:type="gramEnd"/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 xml:space="preserve"> pro rok 2018)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223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68,91%</w:t>
            </w:r>
          </w:p>
        </w:tc>
      </w:tr>
      <w:tr w:rsidR="004A2D49" w:rsidRPr="0023660C" w:rsidTr="00D13281">
        <w:trPr>
          <w:trHeight w:val="840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30002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Přidaná hodnota IT služeb jako podíl na HDP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2,233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2,4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93,04%</w:t>
            </w:r>
          </w:p>
        </w:tc>
      </w:tr>
      <w:tr w:rsidR="004A2D49" w:rsidRPr="0023660C" w:rsidTr="00D13281">
        <w:trPr>
          <w:trHeight w:val="697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30500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pořízených informačních systémů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Počet 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572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101,22%</w:t>
            </w:r>
          </w:p>
        </w:tc>
      </w:tr>
      <w:tr w:rsidR="004A2D49" w:rsidRPr="0023660C" w:rsidTr="00D13281">
        <w:trPr>
          <w:trHeight w:val="732"/>
          <w:jc w:val="center"/>
        </w:trPr>
        <w:tc>
          <w:tcPr>
            <w:tcW w:w="10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10400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Zvýšení zaměstnanosti v podporovaných podnicích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FTE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569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844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6000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14,07%</w:t>
            </w:r>
          </w:p>
        </w:tc>
      </w:tr>
      <w:tr w:rsidR="004A2D49" w:rsidRPr="0023660C" w:rsidTr="00D13281">
        <w:trPr>
          <w:trHeight w:val="590"/>
          <w:jc w:val="center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E.3.3</w:t>
            </w:r>
            <w:proofErr w:type="gramEnd"/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: Zvýšení dostupnosti infrastruktury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OP PIK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30201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 xml:space="preserve">Domácnosti, které mají nově přístup k širokopásmovým sítím s přenosovou rychlostí 30 </w:t>
            </w:r>
            <w:proofErr w:type="spellStart"/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Mb</w:t>
            </w:r>
            <w:proofErr w:type="spellEnd"/>
            <w:r w:rsidRPr="0023660C">
              <w:rPr>
                <w:rFonts w:eastAsia="Times New Roman" w:cs="Arial"/>
                <w:sz w:val="16"/>
                <w:szCs w:val="16"/>
                <w:lang w:eastAsia="cs-CZ"/>
              </w:rPr>
              <w:t>/s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domácnosti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není stanovena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color w:val="000000"/>
                <w:sz w:val="16"/>
                <w:szCs w:val="16"/>
                <w:lang w:eastAsia="cs-CZ"/>
              </w:rPr>
              <w:t xml:space="preserve">                500 000   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D49" w:rsidRPr="0023660C" w:rsidRDefault="004A2D49" w:rsidP="004F74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23660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cs-CZ"/>
              </w:rPr>
              <w:t>0,00%</w:t>
            </w:r>
          </w:p>
        </w:tc>
      </w:tr>
    </w:tbl>
    <w:p w:rsidR="004A2D49" w:rsidRDefault="004A2D49" w:rsidP="004A2D49"/>
    <w:p w:rsidR="0028135C" w:rsidRDefault="0028135C" w:rsidP="004A2D49">
      <w:pPr>
        <w:jc w:val="both"/>
      </w:pPr>
    </w:p>
    <w:sectPr w:rsidR="0028135C" w:rsidSect="002C07AD">
      <w:footerReference w:type="default" r:id="rId16"/>
      <w:pgSz w:w="16840" w:h="11907" w:orient="landscape" w:code="9"/>
      <w:pgMar w:top="1418" w:right="1134" w:bottom="1418" w:left="1276" w:header="709" w:footer="403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ADD" w:rsidRDefault="001E3ADD" w:rsidP="00DB740D">
      <w:pPr>
        <w:spacing w:after="0" w:line="240" w:lineRule="auto"/>
      </w:pPr>
      <w:r>
        <w:separator/>
      </w:r>
    </w:p>
  </w:endnote>
  <w:endnote w:type="continuationSeparator" w:id="0">
    <w:p w:rsidR="001E3ADD" w:rsidRDefault="001E3ADD" w:rsidP="00DB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041451"/>
      <w:docPartObj>
        <w:docPartGallery w:val="Page Numbers (Bottom of Page)"/>
        <w:docPartUnique/>
      </w:docPartObj>
    </w:sdtPr>
    <w:sdtEndPr/>
    <w:sdtContent>
      <w:p w:rsidR="000D64DA" w:rsidRDefault="000D64D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EF">
          <w:rPr>
            <w:noProof/>
          </w:rPr>
          <w:t>7</w:t>
        </w:r>
        <w:r>
          <w:fldChar w:fldCharType="end"/>
        </w:r>
      </w:p>
    </w:sdtContent>
  </w:sdt>
  <w:p w:rsidR="000D64DA" w:rsidRDefault="000D64D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675724"/>
      <w:docPartObj>
        <w:docPartGallery w:val="Page Numbers (Bottom of Page)"/>
        <w:docPartUnique/>
      </w:docPartObj>
    </w:sdtPr>
    <w:sdtEndPr/>
    <w:sdtContent>
      <w:p w:rsidR="000D64DA" w:rsidRDefault="000D64D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EF">
          <w:rPr>
            <w:noProof/>
          </w:rPr>
          <w:t>0</w:t>
        </w:r>
        <w:r>
          <w:fldChar w:fldCharType="end"/>
        </w:r>
      </w:p>
    </w:sdtContent>
  </w:sdt>
  <w:p w:rsidR="000D64DA" w:rsidRDefault="000D64DA" w:rsidP="004A2D49">
    <w:pPr>
      <w:pStyle w:val="Zpat"/>
      <w:tabs>
        <w:tab w:val="left" w:pos="13725"/>
        <w:tab w:val="right" w:pos="1443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4313925"/>
      <w:docPartObj>
        <w:docPartGallery w:val="Page Numbers (Bottom of Page)"/>
        <w:docPartUnique/>
      </w:docPartObj>
    </w:sdtPr>
    <w:sdtEndPr/>
    <w:sdtContent>
      <w:p w:rsidR="000D64DA" w:rsidRDefault="000D64D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EF">
          <w:rPr>
            <w:noProof/>
          </w:rPr>
          <w:t>11</w:t>
        </w:r>
        <w:r>
          <w:fldChar w:fldCharType="end"/>
        </w:r>
      </w:p>
    </w:sdtContent>
  </w:sdt>
  <w:p w:rsidR="000D64DA" w:rsidRDefault="000D64DA" w:rsidP="003A5799">
    <w:pPr>
      <w:pStyle w:val="Zpat"/>
      <w:tabs>
        <w:tab w:val="left" w:pos="535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ADD" w:rsidRDefault="001E3ADD" w:rsidP="00DB740D">
      <w:pPr>
        <w:spacing w:after="0" w:line="240" w:lineRule="auto"/>
      </w:pPr>
      <w:r>
        <w:separator/>
      </w:r>
    </w:p>
  </w:footnote>
  <w:footnote w:type="continuationSeparator" w:id="0">
    <w:p w:rsidR="001E3ADD" w:rsidRDefault="001E3ADD" w:rsidP="00DB740D">
      <w:pPr>
        <w:spacing w:after="0" w:line="240" w:lineRule="auto"/>
      </w:pPr>
      <w:r>
        <w:continuationSeparator/>
      </w:r>
    </w:p>
  </w:footnote>
  <w:footnote w:id="1">
    <w:p w:rsidR="000D64DA" w:rsidRDefault="000D64DA">
      <w:pPr>
        <w:pStyle w:val="Textpoznpodarou"/>
      </w:pPr>
      <w:r>
        <w:rPr>
          <w:rStyle w:val="Znakapoznpodarou"/>
        </w:rPr>
        <w:footnoteRef/>
      </w:r>
      <w:r>
        <w:t xml:space="preserve"> Není-li uvedeno jinak, pak pod pojmem</w:t>
      </w:r>
      <w:r w:rsidRPr="00B665C3">
        <w:rPr>
          <w:i/>
        </w:rPr>
        <w:t xml:space="preserve"> financování</w:t>
      </w:r>
      <w:r>
        <w:t xml:space="preserve"> jsou v monitoringu Národní RIS3 strategie chápány celkové schválené (plánované) způsobilé výdaje projektů.</w:t>
      </w:r>
    </w:p>
  </w:footnote>
  <w:footnote w:id="2">
    <w:p w:rsidR="000D64DA" w:rsidRDefault="000D64DA" w:rsidP="002E603D">
      <w:pPr>
        <w:pStyle w:val="Textpoznpodarou"/>
      </w:pPr>
      <w:r>
        <w:rPr>
          <w:rStyle w:val="Znakapoznpodarou"/>
        </w:rPr>
        <w:footnoteRef/>
      </w:r>
      <w:r>
        <w:t xml:space="preserve"> Sledovány jsou </w:t>
      </w:r>
      <w:r w:rsidRPr="002E603D">
        <w:rPr>
          <w:b/>
        </w:rPr>
        <w:t>plánované hodnoty</w:t>
      </w:r>
      <w:r>
        <w:t xml:space="preserve"> indikátorů stanovené žadateli projektů.</w:t>
      </w:r>
    </w:p>
    <w:p w:rsidR="000D64DA" w:rsidRDefault="000D64DA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65pt;height:10.65pt" o:bullet="t">
        <v:imagedata r:id="rId1" o:title="msoDE08"/>
      </v:shape>
    </w:pict>
  </w:numPicBullet>
  <w:abstractNum w:abstractNumId="0">
    <w:nsid w:val="01F95A9B"/>
    <w:multiLevelType w:val="hybridMultilevel"/>
    <w:tmpl w:val="B0AAE986"/>
    <w:lvl w:ilvl="0" w:tplc="5BC85C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8E526E46">
      <w:start w:val="1"/>
      <w:numFmt w:val="bullet"/>
      <w:pStyle w:val="komentzaobrzkem-odrky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B7C8F"/>
    <w:multiLevelType w:val="hybridMultilevel"/>
    <w:tmpl w:val="86F841BE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A1019"/>
    <w:multiLevelType w:val="hybridMultilevel"/>
    <w:tmpl w:val="6E90EC48"/>
    <w:lvl w:ilvl="0" w:tplc="4BC2C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04281"/>
    <w:multiLevelType w:val="hybridMultilevel"/>
    <w:tmpl w:val="45CAD300"/>
    <w:lvl w:ilvl="0" w:tplc="6A2CA0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F7D18"/>
    <w:multiLevelType w:val="hybridMultilevel"/>
    <w:tmpl w:val="C21E89C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52808"/>
    <w:multiLevelType w:val="hybridMultilevel"/>
    <w:tmpl w:val="C664778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1C060D"/>
    <w:multiLevelType w:val="hybridMultilevel"/>
    <w:tmpl w:val="6EB21DC0"/>
    <w:lvl w:ilvl="0" w:tplc="F9FCC2D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80AE8"/>
    <w:multiLevelType w:val="hybridMultilevel"/>
    <w:tmpl w:val="294CBF7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F449A"/>
    <w:multiLevelType w:val="hybridMultilevel"/>
    <w:tmpl w:val="1982F6E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61108D"/>
    <w:multiLevelType w:val="hybridMultilevel"/>
    <w:tmpl w:val="6A98D32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C226F"/>
    <w:multiLevelType w:val="hybridMultilevel"/>
    <w:tmpl w:val="6C96200A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AD34D6"/>
    <w:multiLevelType w:val="hybridMultilevel"/>
    <w:tmpl w:val="87762D18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1AE86F94"/>
    <w:multiLevelType w:val="hybridMultilevel"/>
    <w:tmpl w:val="DDA48B56"/>
    <w:lvl w:ilvl="0" w:tplc="0405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1B65235C"/>
    <w:multiLevelType w:val="hybridMultilevel"/>
    <w:tmpl w:val="5E80DFAC"/>
    <w:lvl w:ilvl="0" w:tplc="2F44A7E4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0F5888"/>
    <w:multiLevelType w:val="hybridMultilevel"/>
    <w:tmpl w:val="970C375C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350093"/>
    <w:multiLevelType w:val="hybridMultilevel"/>
    <w:tmpl w:val="354C0712"/>
    <w:lvl w:ilvl="0" w:tplc="F91A19DA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956B1C"/>
    <w:multiLevelType w:val="hybridMultilevel"/>
    <w:tmpl w:val="D474DC54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1EE02C9D"/>
    <w:multiLevelType w:val="hybridMultilevel"/>
    <w:tmpl w:val="7778D2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314185"/>
    <w:multiLevelType w:val="hybridMultilevel"/>
    <w:tmpl w:val="9AA4F9FC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3037012"/>
    <w:multiLevelType w:val="hybridMultilevel"/>
    <w:tmpl w:val="F1C6C746"/>
    <w:lvl w:ilvl="0" w:tplc="C792A600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522498"/>
    <w:multiLevelType w:val="hybridMultilevel"/>
    <w:tmpl w:val="5254B1CA"/>
    <w:lvl w:ilvl="0" w:tplc="F5566ADE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872591"/>
    <w:multiLevelType w:val="hybridMultilevel"/>
    <w:tmpl w:val="CB46F9D8"/>
    <w:lvl w:ilvl="0" w:tplc="CB74BF12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963C9B"/>
    <w:multiLevelType w:val="hybridMultilevel"/>
    <w:tmpl w:val="8648179E"/>
    <w:lvl w:ilvl="0" w:tplc="0405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>
    <w:nsid w:val="37976B62"/>
    <w:multiLevelType w:val="hybridMultilevel"/>
    <w:tmpl w:val="3616440C"/>
    <w:lvl w:ilvl="0" w:tplc="040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>
    <w:nsid w:val="3C33228D"/>
    <w:multiLevelType w:val="multilevel"/>
    <w:tmpl w:val="65E6B8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Podtitu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DC5636D"/>
    <w:multiLevelType w:val="hybridMultilevel"/>
    <w:tmpl w:val="10F608A6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E7D6FBC"/>
    <w:multiLevelType w:val="hybridMultilevel"/>
    <w:tmpl w:val="175CA7A6"/>
    <w:lvl w:ilvl="0" w:tplc="9708AE8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B5866"/>
    <w:multiLevelType w:val="hybridMultilevel"/>
    <w:tmpl w:val="EB12C682"/>
    <w:lvl w:ilvl="0" w:tplc="D11A8E8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7B4D3E"/>
    <w:multiLevelType w:val="hybridMultilevel"/>
    <w:tmpl w:val="D878F186"/>
    <w:lvl w:ilvl="0" w:tplc="0405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4FC86C2C"/>
    <w:multiLevelType w:val="hybridMultilevel"/>
    <w:tmpl w:val="ACFCE564"/>
    <w:lvl w:ilvl="0" w:tplc="D41CC9C2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67D64"/>
    <w:multiLevelType w:val="hybridMultilevel"/>
    <w:tmpl w:val="8EAE3B38"/>
    <w:lvl w:ilvl="0" w:tplc="5CC8D49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9E3BC9"/>
    <w:multiLevelType w:val="hybridMultilevel"/>
    <w:tmpl w:val="A8346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E06C63"/>
    <w:multiLevelType w:val="hybridMultilevel"/>
    <w:tmpl w:val="178E21E4"/>
    <w:lvl w:ilvl="0" w:tplc="5420B46C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1C77C9"/>
    <w:multiLevelType w:val="hybridMultilevel"/>
    <w:tmpl w:val="61A4374A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5D832FF2"/>
    <w:multiLevelType w:val="hybridMultilevel"/>
    <w:tmpl w:val="9E92B65C"/>
    <w:lvl w:ilvl="0" w:tplc="B6D816B0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77922"/>
    <w:multiLevelType w:val="hybridMultilevel"/>
    <w:tmpl w:val="BBC27BA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D47E73"/>
    <w:multiLevelType w:val="hybridMultilevel"/>
    <w:tmpl w:val="D5A46AFC"/>
    <w:lvl w:ilvl="0" w:tplc="559492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731D50"/>
    <w:multiLevelType w:val="hybridMultilevel"/>
    <w:tmpl w:val="324016CA"/>
    <w:lvl w:ilvl="0" w:tplc="F16685D8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313BA9"/>
    <w:multiLevelType w:val="hybridMultilevel"/>
    <w:tmpl w:val="1C7E8C6A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>
    <w:nsid w:val="774C63A0"/>
    <w:multiLevelType w:val="multilevel"/>
    <w:tmpl w:val="FB00D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78A23652"/>
    <w:multiLevelType w:val="hybridMultilevel"/>
    <w:tmpl w:val="63E8232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2E7D33"/>
    <w:multiLevelType w:val="multilevel"/>
    <w:tmpl w:val="DDF6A8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E097C91"/>
    <w:multiLevelType w:val="hybridMultilevel"/>
    <w:tmpl w:val="AD0A0962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E333904"/>
    <w:multiLevelType w:val="hybridMultilevel"/>
    <w:tmpl w:val="0A52588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39"/>
  </w:num>
  <w:num w:numId="4">
    <w:abstractNumId w:val="12"/>
  </w:num>
  <w:num w:numId="5">
    <w:abstractNumId w:val="28"/>
  </w:num>
  <w:num w:numId="6">
    <w:abstractNumId w:val="23"/>
  </w:num>
  <w:num w:numId="7">
    <w:abstractNumId w:val="33"/>
  </w:num>
  <w:num w:numId="8">
    <w:abstractNumId w:val="38"/>
  </w:num>
  <w:num w:numId="9">
    <w:abstractNumId w:val="11"/>
  </w:num>
  <w:num w:numId="10">
    <w:abstractNumId w:val="17"/>
  </w:num>
  <w:num w:numId="11">
    <w:abstractNumId w:val="16"/>
  </w:num>
  <w:num w:numId="12">
    <w:abstractNumId w:val="40"/>
  </w:num>
  <w:num w:numId="13">
    <w:abstractNumId w:val="5"/>
  </w:num>
  <w:num w:numId="14">
    <w:abstractNumId w:val="41"/>
  </w:num>
  <w:num w:numId="15">
    <w:abstractNumId w:val="7"/>
  </w:num>
  <w:num w:numId="16">
    <w:abstractNumId w:val="2"/>
  </w:num>
  <w:num w:numId="17">
    <w:abstractNumId w:val="36"/>
  </w:num>
  <w:num w:numId="18">
    <w:abstractNumId w:val="26"/>
  </w:num>
  <w:num w:numId="19">
    <w:abstractNumId w:val="6"/>
  </w:num>
  <w:num w:numId="20">
    <w:abstractNumId w:val="27"/>
  </w:num>
  <w:num w:numId="21">
    <w:abstractNumId w:val="32"/>
  </w:num>
  <w:num w:numId="22">
    <w:abstractNumId w:val="19"/>
  </w:num>
  <w:num w:numId="23">
    <w:abstractNumId w:val="37"/>
  </w:num>
  <w:num w:numId="24">
    <w:abstractNumId w:val="15"/>
  </w:num>
  <w:num w:numId="25">
    <w:abstractNumId w:val="29"/>
  </w:num>
  <w:num w:numId="26">
    <w:abstractNumId w:val="13"/>
  </w:num>
  <w:num w:numId="27">
    <w:abstractNumId w:val="21"/>
  </w:num>
  <w:num w:numId="28">
    <w:abstractNumId w:val="34"/>
  </w:num>
  <w:num w:numId="29">
    <w:abstractNumId w:val="20"/>
  </w:num>
  <w:num w:numId="30">
    <w:abstractNumId w:val="42"/>
  </w:num>
  <w:num w:numId="31">
    <w:abstractNumId w:val="1"/>
  </w:num>
  <w:num w:numId="32">
    <w:abstractNumId w:val="25"/>
  </w:num>
  <w:num w:numId="33">
    <w:abstractNumId w:val="10"/>
  </w:num>
  <w:num w:numId="34">
    <w:abstractNumId w:val="18"/>
  </w:num>
  <w:num w:numId="35">
    <w:abstractNumId w:val="22"/>
  </w:num>
  <w:num w:numId="36">
    <w:abstractNumId w:val="14"/>
  </w:num>
  <w:num w:numId="37">
    <w:abstractNumId w:val="8"/>
  </w:num>
  <w:num w:numId="38">
    <w:abstractNumId w:val="9"/>
  </w:num>
  <w:num w:numId="39">
    <w:abstractNumId w:val="35"/>
  </w:num>
  <w:num w:numId="40">
    <w:abstractNumId w:val="30"/>
  </w:num>
  <w:num w:numId="41">
    <w:abstractNumId w:val="4"/>
  </w:num>
  <w:num w:numId="42">
    <w:abstractNumId w:val="43"/>
  </w:num>
  <w:num w:numId="43">
    <w:abstractNumId w:val="3"/>
  </w:num>
  <w:num w:numId="44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F2"/>
    <w:rsid w:val="00005B73"/>
    <w:rsid w:val="00013040"/>
    <w:rsid w:val="000310EE"/>
    <w:rsid w:val="000320D1"/>
    <w:rsid w:val="00033AD5"/>
    <w:rsid w:val="000371AE"/>
    <w:rsid w:val="00037E54"/>
    <w:rsid w:val="00042B5E"/>
    <w:rsid w:val="00042FA8"/>
    <w:rsid w:val="00051720"/>
    <w:rsid w:val="00051886"/>
    <w:rsid w:val="00053C97"/>
    <w:rsid w:val="000558B6"/>
    <w:rsid w:val="000575A9"/>
    <w:rsid w:val="000614CD"/>
    <w:rsid w:val="00066A8B"/>
    <w:rsid w:val="00070025"/>
    <w:rsid w:val="000724C1"/>
    <w:rsid w:val="00080809"/>
    <w:rsid w:val="00081166"/>
    <w:rsid w:val="000827F7"/>
    <w:rsid w:val="0009183E"/>
    <w:rsid w:val="0009249B"/>
    <w:rsid w:val="000956DC"/>
    <w:rsid w:val="000B435B"/>
    <w:rsid w:val="000B4CEE"/>
    <w:rsid w:val="000B70E4"/>
    <w:rsid w:val="000D64DA"/>
    <w:rsid w:val="000E465F"/>
    <w:rsid w:val="000F1C9C"/>
    <w:rsid w:val="000F5DBD"/>
    <w:rsid w:val="001003CD"/>
    <w:rsid w:val="00100C64"/>
    <w:rsid w:val="00102F0B"/>
    <w:rsid w:val="001059AF"/>
    <w:rsid w:val="00107B89"/>
    <w:rsid w:val="001160D5"/>
    <w:rsid w:val="00124614"/>
    <w:rsid w:val="001337CE"/>
    <w:rsid w:val="00137ADF"/>
    <w:rsid w:val="00146B39"/>
    <w:rsid w:val="0014776C"/>
    <w:rsid w:val="00152F08"/>
    <w:rsid w:val="00164ABB"/>
    <w:rsid w:val="001656C9"/>
    <w:rsid w:val="00170771"/>
    <w:rsid w:val="0019175D"/>
    <w:rsid w:val="00192E0D"/>
    <w:rsid w:val="00195CAB"/>
    <w:rsid w:val="00196959"/>
    <w:rsid w:val="001A07D7"/>
    <w:rsid w:val="001A1C18"/>
    <w:rsid w:val="001A3D51"/>
    <w:rsid w:val="001A732F"/>
    <w:rsid w:val="001B0976"/>
    <w:rsid w:val="001B10FC"/>
    <w:rsid w:val="001B1D66"/>
    <w:rsid w:val="001B5457"/>
    <w:rsid w:val="001C7461"/>
    <w:rsid w:val="001D00BD"/>
    <w:rsid w:val="001D049C"/>
    <w:rsid w:val="001D64D3"/>
    <w:rsid w:val="001E1CE1"/>
    <w:rsid w:val="001E3ADD"/>
    <w:rsid w:val="001E4F07"/>
    <w:rsid w:val="001E7301"/>
    <w:rsid w:val="002075A1"/>
    <w:rsid w:val="002121FC"/>
    <w:rsid w:val="0021314F"/>
    <w:rsid w:val="00216293"/>
    <w:rsid w:val="00217492"/>
    <w:rsid w:val="00217BEC"/>
    <w:rsid w:val="00223733"/>
    <w:rsid w:val="00224111"/>
    <w:rsid w:val="00224908"/>
    <w:rsid w:val="002253B9"/>
    <w:rsid w:val="00225DC1"/>
    <w:rsid w:val="00237D46"/>
    <w:rsid w:val="0024152B"/>
    <w:rsid w:val="0024455C"/>
    <w:rsid w:val="002618EC"/>
    <w:rsid w:val="002623B9"/>
    <w:rsid w:val="0027116E"/>
    <w:rsid w:val="002721D2"/>
    <w:rsid w:val="0027366B"/>
    <w:rsid w:val="00274754"/>
    <w:rsid w:val="0028135C"/>
    <w:rsid w:val="0028277C"/>
    <w:rsid w:val="00284E58"/>
    <w:rsid w:val="0028523B"/>
    <w:rsid w:val="002954D5"/>
    <w:rsid w:val="002B1702"/>
    <w:rsid w:val="002B6426"/>
    <w:rsid w:val="002C02E8"/>
    <w:rsid w:val="002C07AD"/>
    <w:rsid w:val="002C616A"/>
    <w:rsid w:val="002C75C7"/>
    <w:rsid w:val="002D4476"/>
    <w:rsid w:val="002D5955"/>
    <w:rsid w:val="002E5E64"/>
    <w:rsid w:val="002E602D"/>
    <w:rsid w:val="002E603D"/>
    <w:rsid w:val="002F0609"/>
    <w:rsid w:val="002F1121"/>
    <w:rsid w:val="002F314B"/>
    <w:rsid w:val="0030026A"/>
    <w:rsid w:val="00303406"/>
    <w:rsid w:val="00305E7E"/>
    <w:rsid w:val="00310CD0"/>
    <w:rsid w:val="003155F3"/>
    <w:rsid w:val="00316814"/>
    <w:rsid w:val="003176A4"/>
    <w:rsid w:val="00321225"/>
    <w:rsid w:val="00322050"/>
    <w:rsid w:val="003242B1"/>
    <w:rsid w:val="00332D18"/>
    <w:rsid w:val="003367C7"/>
    <w:rsid w:val="00342707"/>
    <w:rsid w:val="00344F61"/>
    <w:rsid w:val="00345EA9"/>
    <w:rsid w:val="003470AD"/>
    <w:rsid w:val="0035178B"/>
    <w:rsid w:val="00357FA3"/>
    <w:rsid w:val="00360A2A"/>
    <w:rsid w:val="00360A8C"/>
    <w:rsid w:val="00363EE3"/>
    <w:rsid w:val="00371458"/>
    <w:rsid w:val="00372317"/>
    <w:rsid w:val="00375956"/>
    <w:rsid w:val="00396984"/>
    <w:rsid w:val="003A5799"/>
    <w:rsid w:val="003B4379"/>
    <w:rsid w:val="003B6787"/>
    <w:rsid w:val="003B7697"/>
    <w:rsid w:val="003C0F30"/>
    <w:rsid w:val="003C601B"/>
    <w:rsid w:val="003D173C"/>
    <w:rsid w:val="003D6CFE"/>
    <w:rsid w:val="003E31D4"/>
    <w:rsid w:val="003E3798"/>
    <w:rsid w:val="003E73C0"/>
    <w:rsid w:val="003F1DC1"/>
    <w:rsid w:val="003F2E3D"/>
    <w:rsid w:val="003F7426"/>
    <w:rsid w:val="0040065E"/>
    <w:rsid w:val="004026B2"/>
    <w:rsid w:val="004062D6"/>
    <w:rsid w:val="004114F1"/>
    <w:rsid w:val="0041234A"/>
    <w:rsid w:val="00412627"/>
    <w:rsid w:val="00414BD1"/>
    <w:rsid w:val="00420925"/>
    <w:rsid w:val="0042465D"/>
    <w:rsid w:val="00424761"/>
    <w:rsid w:val="0043092D"/>
    <w:rsid w:val="00431B31"/>
    <w:rsid w:val="00436D14"/>
    <w:rsid w:val="004441B9"/>
    <w:rsid w:val="004441CE"/>
    <w:rsid w:val="00457C86"/>
    <w:rsid w:val="00461A4D"/>
    <w:rsid w:val="00462EAE"/>
    <w:rsid w:val="004649DA"/>
    <w:rsid w:val="004724DF"/>
    <w:rsid w:val="00472D5F"/>
    <w:rsid w:val="00474806"/>
    <w:rsid w:val="00491050"/>
    <w:rsid w:val="00497A56"/>
    <w:rsid w:val="004A0234"/>
    <w:rsid w:val="004A2690"/>
    <w:rsid w:val="004A2D49"/>
    <w:rsid w:val="004B331D"/>
    <w:rsid w:val="004B7F9B"/>
    <w:rsid w:val="004C49E1"/>
    <w:rsid w:val="004D2ACF"/>
    <w:rsid w:val="004D3E5B"/>
    <w:rsid w:val="004D4F51"/>
    <w:rsid w:val="004D52A9"/>
    <w:rsid w:val="004D6D60"/>
    <w:rsid w:val="004D73A4"/>
    <w:rsid w:val="004E383E"/>
    <w:rsid w:val="004E4C3A"/>
    <w:rsid w:val="004E673D"/>
    <w:rsid w:val="004E78E2"/>
    <w:rsid w:val="004F5EE5"/>
    <w:rsid w:val="004F7408"/>
    <w:rsid w:val="00501D61"/>
    <w:rsid w:val="00510CFF"/>
    <w:rsid w:val="00517CFC"/>
    <w:rsid w:val="0052658B"/>
    <w:rsid w:val="00534F8D"/>
    <w:rsid w:val="0053602F"/>
    <w:rsid w:val="005375D8"/>
    <w:rsid w:val="0054761A"/>
    <w:rsid w:val="005642D8"/>
    <w:rsid w:val="0056480A"/>
    <w:rsid w:val="00567E6F"/>
    <w:rsid w:val="00570AB4"/>
    <w:rsid w:val="00572F98"/>
    <w:rsid w:val="00573029"/>
    <w:rsid w:val="00573C01"/>
    <w:rsid w:val="00576499"/>
    <w:rsid w:val="005868AD"/>
    <w:rsid w:val="005874E2"/>
    <w:rsid w:val="0059424A"/>
    <w:rsid w:val="00595CFE"/>
    <w:rsid w:val="00596B9F"/>
    <w:rsid w:val="005A1DD9"/>
    <w:rsid w:val="005A4BBD"/>
    <w:rsid w:val="005A563C"/>
    <w:rsid w:val="005A7C6E"/>
    <w:rsid w:val="005A7F71"/>
    <w:rsid w:val="005B2436"/>
    <w:rsid w:val="005C429C"/>
    <w:rsid w:val="005C4DEE"/>
    <w:rsid w:val="005F133B"/>
    <w:rsid w:val="00600E8F"/>
    <w:rsid w:val="00602559"/>
    <w:rsid w:val="00603BC2"/>
    <w:rsid w:val="0060599C"/>
    <w:rsid w:val="0061665F"/>
    <w:rsid w:val="00617D4A"/>
    <w:rsid w:val="00632714"/>
    <w:rsid w:val="0063422B"/>
    <w:rsid w:val="00641E70"/>
    <w:rsid w:val="006503C3"/>
    <w:rsid w:val="006512A3"/>
    <w:rsid w:val="00652A1C"/>
    <w:rsid w:val="00652C40"/>
    <w:rsid w:val="00652FAB"/>
    <w:rsid w:val="006536BF"/>
    <w:rsid w:val="00654666"/>
    <w:rsid w:val="00657F19"/>
    <w:rsid w:val="006611AF"/>
    <w:rsid w:val="006631C7"/>
    <w:rsid w:val="00665025"/>
    <w:rsid w:val="006663A7"/>
    <w:rsid w:val="0066705E"/>
    <w:rsid w:val="00672896"/>
    <w:rsid w:val="00676735"/>
    <w:rsid w:val="00686B63"/>
    <w:rsid w:val="0069095C"/>
    <w:rsid w:val="006948B6"/>
    <w:rsid w:val="00695BE8"/>
    <w:rsid w:val="00695E91"/>
    <w:rsid w:val="006A11C7"/>
    <w:rsid w:val="006B6CC6"/>
    <w:rsid w:val="006B7CB4"/>
    <w:rsid w:val="006C02BC"/>
    <w:rsid w:val="006C46FD"/>
    <w:rsid w:val="006D0521"/>
    <w:rsid w:val="006D1743"/>
    <w:rsid w:val="006E355E"/>
    <w:rsid w:val="006E6E0F"/>
    <w:rsid w:val="006F7A4D"/>
    <w:rsid w:val="00703D00"/>
    <w:rsid w:val="00715C83"/>
    <w:rsid w:val="007165F1"/>
    <w:rsid w:val="00722230"/>
    <w:rsid w:val="00722450"/>
    <w:rsid w:val="007232C8"/>
    <w:rsid w:val="00734485"/>
    <w:rsid w:val="00737D50"/>
    <w:rsid w:val="007431F8"/>
    <w:rsid w:val="00747085"/>
    <w:rsid w:val="00753C6D"/>
    <w:rsid w:val="007624BB"/>
    <w:rsid w:val="00774CCC"/>
    <w:rsid w:val="00790D6F"/>
    <w:rsid w:val="00790D79"/>
    <w:rsid w:val="007B003B"/>
    <w:rsid w:val="007B4A10"/>
    <w:rsid w:val="007B6DC9"/>
    <w:rsid w:val="007C1589"/>
    <w:rsid w:val="007C7C08"/>
    <w:rsid w:val="007E3BDE"/>
    <w:rsid w:val="007F2469"/>
    <w:rsid w:val="007F36FF"/>
    <w:rsid w:val="007F7319"/>
    <w:rsid w:val="00800B36"/>
    <w:rsid w:val="00803594"/>
    <w:rsid w:val="008051ED"/>
    <w:rsid w:val="008125E3"/>
    <w:rsid w:val="00812898"/>
    <w:rsid w:val="00814181"/>
    <w:rsid w:val="00817324"/>
    <w:rsid w:val="00821088"/>
    <w:rsid w:val="008232C4"/>
    <w:rsid w:val="00830F78"/>
    <w:rsid w:val="00840707"/>
    <w:rsid w:val="00840A9C"/>
    <w:rsid w:val="00840BBF"/>
    <w:rsid w:val="00840DA2"/>
    <w:rsid w:val="0084197E"/>
    <w:rsid w:val="00843139"/>
    <w:rsid w:val="00846989"/>
    <w:rsid w:val="0085114E"/>
    <w:rsid w:val="00865A56"/>
    <w:rsid w:val="0087684A"/>
    <w:rsid w:val="00886E2F"/>
    <w:rsid w:val="00887569"/>
    <w:rsid w:val="00890E75"/>
    <w:rsid w:val="00891178"/>
    <w:rsid w:val="008945B4"/>
    <w:rsid w:val="00896887"/>
    <w:rsid w:val="008A0F65"/>
    <w:rsid w:val="008A1622"/>
    <w:rsid w:val="008A2344"/>
    <w:rsid w:val="008A37EA"/>
    <w:rsid w:val="008A72E4"/>
    <w:rsid w:val="008B7FB9"/>
    <w:rsid w:val="008C1323"/>
    <w:rsid w:val="008D481F"/>
    <w:rsid w:val="008E013F"/>
    <w:rsid w:val="008E1E87"/>
    <w:rsid w:val="008F26C2"/>
    <w:rsid w:val="008F49A3"/>
    <w:rsid w:val="008F52DE"/>
    <w:rsid w:val="00901E02"/>
    <w:rsid w:val="00917EE6"/>
    <w:rsid w:val="0092016E"/>
    <w:rsid w:val="00920EAB"/>
    <w:rsid w:val="00923F1F"/>
    <w:rsid w:val="00927DAE"/>
    <w:rsid w:val="00930AAA"/>
    <w:rsid w:val="009326B4"/>
    <w:rsid w:val="00935470"/>
    <w:rsid w:val="00946029"/>
    <w:rsid w:val="009523CC"/>
    <w:rsid w:val="00956438"/>
    <w:rsid w:val="00960192"/>
    <w:rsid w:val="00963D5D"/>
    <w:rsid w:val="00971783"/>
    <w:rsid w:val="00973596"/>
    <w:rsid w:val="00973D6C"/>
    <w:rsid w:val="009741BE"/>
    <w:rsid w:val="00975290"/>
    <w:rsid w:val="009752F5"/>
    <w:rsid w:val="00976340"/>
    <w:rsid w:val="0097764D"/>
    <w:rsid w:val="00991125"/>
    <w:rsid w:val="009A07E8"/>
    <w:rsid w:val="009A26ED"/>
    <w:rsid w:val="009B1988"/>
    <w:rsid w:val="009B2E33"/>
    <w:rsid w:val="009B5F8C"/>
    <w:rsid w:val="009C214B"/>
    <w:rsid w:val="009C2A7E"/>
    <w:rsid w:val="009C4917"/>
    <w:rsid w:val="009C7880"/>
    <w:rsid w:val="009D21C9"/>
    <w:rsid w:val="009E192A"/>
    <w:rsid w:val="009E4F13"/>
    <w:rsid w:val="009E6817"/>
    <w:rsid w:val="009F0285"/>
    <w:rsid w:val="009F0D85"/>
    <w:rsid w:val="009F178E"/>
    <w:rsid w:val="00A0029F"/>
    <w:rsid w:val="00A002BA"/>
    <w:rsid w:val="00A066E9"/>
    <w:rsid w:val="00A122E5"/>
    <w:rsid w:val="00A12A6E"/>
    <w:rsid w:val="00A13838"/>
    <w:rsid w:val="00A16212"/>
    <w:rsid w:val="00A22D26"/>
    <w:rsid w:val="00A23C96"/>
    <w:rsid w:val="00A26301"/>
    <w:rsid w:val="00A3324C"/>
    <w:rsid w:val="00A34595"/>
    <w:rsid w:val="00A42595"/>
    <w:rsid w:val="00A42E1C"/>
    <w:rsid w:val="00A47289"/>
    <w:rsid w:val="00A53151"/>
    <w:rsid w:val="00A571F2"/>
    <w:rsid w:val="00A5791D"/>
    <w:rsid w:val="00A6664E"/>
    <w:rsid w:val="00A67223"/>
    <w:rsid w:val="00A85BEE"/>
    <w:rsid w:val="00A86814"/>
    <w:rsid w:val="00A875F3"/>
    <w:rsid w:val="00A90582"/>
    <w:rsid w:val="00A90FC8"/>
    <w:rsid w:val="00A94382"/>
    <w:rsid w:val="00AA2B74"/>
    <w:rsid w:val="00AA351A"/>
    <w:rsid w:val="00AB1895"/>
    <w:rsid w:val="00AB2AD5"/>
    <w:rsid w:val="00AB66DA"/>
    <w:rsid w:val="00AB7B5E"/>
    <w:rsid w:val="00AC1849"/>
    <w:rsid w:val="00AC40C3"/>
    <w:rsid w:val="00AD2DF4"/>
    <w:rsid w:val="00AD422A"/>
    <w:rsid w:val="00AE3735"/>
    <w:rsid w:val="00AE419F"/>
    <w:rsid w:val="00AE41EB"/>
    <w:rsid w:val="00AF4A0F"/>
    <w:rsid w:val="00AF77AB"/>
    <w:rsid w:val="00B036D5"/>
    <w:rsid w:val="00B048B1"/>
    <w:rsid w:val="00B2686D"/>
    <w:rsid w:val="00B3153E"/>
    <w:rsid w:val="00B40267"/>
    <w:rsid w:val="00B42AE1"/>
    <w:rsid w:val="00B47E62"/>
    <w:rsid w:val="00B50CB4"/>
    <w:rsid w:val="00B545EF"/>
    <w:rsid w:val="00B54E0E"/>
    <w:rsid w:val="00B57405"/>
    <w:rsid w:val="00B614DF"/>
    <w:rsid w:val="00B653D0"/>
    <w:rsid w:val="00B65BB5"/>
    <w:rsid w:val="00B65E8E"/>
    <w:rsid w:val="00B71AB6"/>
    <w:rsid w:val="00B810C2"/>
    <w:rsid w:val="00B8271A"/>
    <w:rsid w:val="00B829D5"/>
    <w:rsid w:val="00B84E82"/>
    <w:rsid w:val="00B875D0"/>
    <w:rsid w:val="00B90348"/>
    <w:rsid w:val="00B9091B"/>
    <w:rsid w:val="00B970DB"/>
    <w:rsid w:val="00B972ED"/>
    <w:rsid w:val="00BA0739"/>
    <w:rsid w:val="00BA75CE"/>
    <w:rsid w:val="00BB39A7"/>
    <w:rsid w:val="00BB72C2"/>
    <w:rsid w:val="00BB7760"/>
    <w:rsid w:val="00BC098B"/>
    <w:rsid w:val="00BC5CE2"/>
    <w:rsid w:val="00BC6EF4"/>
    <w:rsid w:val="00BC73C2"/>
    <w:rsid w:val="00BD0886"/>
    <w:rsid w:val="00BD2753"/>
    <w:rsid w:val="00BD3508"/>
    <w:rsid w:val="00BD3E47"/>
    <w:rsid w:val="00BE049E"/>
    <w:rsid w:val="00BE6CA9"/>
    <w:rsid w:val="00BF1822"/>
    <w:rsid w:val="00BF1C2D"/>
    <w:rsid w:val="00BF25AB"/>
    <w:rsid w:val="00BF523D"/>
    <w:rsid w:val="00C03441"/>
    <w:rsid w:val="00C05082"/>
    <w:rsid w:val="00C067EF"/>
    <w:rsid w:val="00C06DA1"/>
    <w:rsid w:val="00C2220D"/>
    <w:rsid w:val="00C233F3"/>
    <w:rsid w:val="00C235A8"/>
    <w:rsid w:val="00C24870"/>
    <w:rsid w:val="00C25171"/>
    <w:rsid w:val="00C34C51"/>
    <w:rsid w:val="00C54AD8"/>
    <w:rsid w:val="00C553B4"/>
    <w:rsid w:val="00C63BEC"/>
    <w:rsid w:val="00C6722C"/>
    <w:rsid w:val="00C72D2A"/>
    <w:rsid w:val="00C80F14"/>
    <w:rsid w:val="00C824D9"/>
    <w:rsid w:val="00C84384"/>
    <w:rsid w:val="00C904E6"/>
    <w:rsid w:val="00C95D3D"/>
    <w:rsid w:val="00C9705B"/>
    <w:rsid w:val="00CA4AC2"/>
    <w:rsid w:val="00CB0177"/>
    <w:rsid w:val="00CB4CAC"/>
    <w:rsid w:val="00CB6220"/>
    <w:rsid w:val="00CB74FB"/>
    <w:rsid w:val="00CB7EE1"/>
    <w:rsid w:val="00CC105E"/>
    <w:rsid w:val="00CC20CD"/>
    <w:rsid w:val="00CC4008"/>
    <w:rsid w:val="00CC493F"/>
    <w:rsid w:val="00CD1A8B"/>
    <w:rsid w:val="00CD5989"/>
    <w:rsid w:val="00CF650A"/>
    <w:rsid w:val="00CF66DF"/>
    <w:rsid w:val="00D0072B"/>
    <w:rsid w:val="00D02F65"/>
    <w:rsid w:val="00D10841"/>
    <w:rsid w:val="00D13281"/>
    <w:rsid w:val="00D14FF2"/>
    <w:rsid w:val="00D16032"/>
    <w:rsid w:val="00D16BCB"/>
    <w:rsid w:val="00D20310"/>
    <w:rsid w:val="00D34ACB"/>
    <w:rsid w:val="00D363CC"/>
    <w:rsid w:val="00D452EF"/>
    <w:rsid w:val="00D51A25"/>
    <w:rsid w:val="00D571A5"/>
    <w:rsid w:val="00D60872"/>
    <w:rsid w:val="00D626AF"/>
    <w:rsid w:val="00D62959"/>
    <w:rsid w:val="00D660B7"/>
    <w:rsid w:val="00D7070F"/>
    <w:rsid w:val="00D75FB0"/>
    <w:rsid w:val="00D764D1"/>
    <w:rsid w:val="00D8017B"/>
    <w:rsid w:val="00D823B6"/>
    <w:rsid w:val="00D82CCC"/>
    <w:rsid w:val="00D90B15"/>
    <w:rsid w:val="00D91E24"/>
    <w:rsid w:val="00D9365B"/>
    <w:rsid w:val="00DA776F"/>
    <w:rsid w:val="00DB740D"/>
    <w:rsid w:val="00DC0E7D"/>
    <w:rsid w:val="00DC1E9B"/>
    <w:rsid w:val="00DC218D"/>
    <w:rsid w:val="00DD0828"/>
    <w:rsid w:val="00DD2B8B"/>
    <w:rsid w:val="00DD49A0"/>
    <w:rsid w:val="00DE0827"/>
    <w:rsid w:val="00DF70BA"/>
    <w:rsid w:val="00E052E3"/>
    <w:rsid w:val="00E14D72"/>
    <w:rsid w:val="00E15B93"/>
    <w:rsid w:val="00E212D5"/>
    <w:rsid w:val="00E217AC"/>
    <w:rsid w:val="00E30D3C"/>
    <w:rsid w:val="00E31EF2"/>
    <w:rsid w:val="00E337E3"/>
    <w:rsid w:val="00E455BA"/>
    <w:rsid w:val="00E80FE0"/>
    <w:rsid w:val="00E90735"/>
    <w:rsid w:val="00E9303E"/>
    <w:rsid w:val="00E97755"/>
    <w:rsid w:val="00E97FCD"/>
    <w:rsid w:val="00EA1EC4"/>
    <w:rsid w:val="00EA305C"/>
    <w:rsid w:val="00EA49E2"/>
    <w:rsid w:val="00EA68D2"/>
    <w:rsid w:val="00EB2878"/>
    <w:rsid w:val="00EC64CA"/>
    <w:rsid w:val="00EE021D"/>
    <w:rsid w:val="00EE275E"/>
    <w:rsid w:val="00EE62BC"/>
    <w:rsid w:val="00EF47D2"/>
    <w:rsid w:val="00EF50CE"/>
    <w:rsid w:val="00EF768B"/>
    <w:rsid w:val="00F059ED"/>
    <w:rsid w:val="00F06B79"/>
    <w:rsid w:val="00F1772F"/>
    <w:rsid w:val="00F2727E"/>
    <w:rsid w:val="00F27E0C"/>
    <w:rsid w:val="00F30127"/>
    <w:rsid w:val="00F3564F"/>
    <w:rsid w:val="00F52AF5"/>
    <w:rsid w:val="00F54C5A"/>
    <w:rsid w:val="00F630E4"/>
    <w:rsid w:val="00F6690A"/>
    <w:rsid w:val="00F739E5"/>
    <w:rsid w:val="00F75691"/>
    <w:rsid w:val="00F779F5"/>
    <w:rsid w:val="00F85940"/>
    <w:rsid w:val="00F91126"/>
    <w:rsid w:val="00F922B3"/>
    <w:rsid w:val="00F93D1D"/>
    <w:rsid w:val="00FA21A5"/>
    <w:rsid w:val="00FA727D"/>
    <w:rsid w:val="00FB30A0"/>
    <w:rsid w:val="00FC1555"/>
    <w:rsid w:val="00FC193C"/>
    <w:rsid w:val="00FC50CC"/>
    <w:rsid w:val="00FE0026"/>
    <w:rsid w:val="00FE196B"/>
    <w:rsid w:val="00FE799F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740D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97634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976340"/>
    <w:pPr>
      <w:keepNext/>
      <w:keepLines/>
      <w:spacing w:before="200" w:after="0"/>
      <w:outlineLvl w:val="1"/>
    </w:pPr>
    <w:rPr>
      <w:rFonts w:eastAsiaTheme="majorEastAsia" w:cstheme="majorBidi"/>
      <w:bCs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B740D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634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76340"/>
    <w:rPr>
      <w:rFonts w:ascii="Arial" w:eastAsiaTheme="majorEastAsia" w:hAnsi="Arial" w:cstheme="majorBidi"/>
      <w:bCs/>
      <w:sz w:val="24"/>
      <w:szCs w:val="26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B740D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Titulek">
    <w:name w:val="caption"/>
    <w:aliases w:val="~Caption"/>
    <w:basedOn w:val="Normln"/>
    <w:next w:val="Normln"/>
    <w:link w:val="TitulekChar"/>
    <w:autoRedefine/>
    <w:uiPriority w:val="35"/>
    <w:unhideWhenUsed/>
    <w:qFormat/>
    <w:rsid w:val="00D9365B"/>
    <w:pPr>
      <w:keepNext/>
      <w:spacing w:line="240" w:lineRule="auto"/>
      <w:jc w:val="center"/>
    </w:pPr>
    <w:rPr>
      <w:b/>
      <w:bCs/>
      <w:szCs w:val="18"/>
    </w:rPr>
  </w:style>
  <w:style w:type="character" w:customStyle="1" w:styleId="TitulekChar">
    <w:name w:val="Titulek Char"/>
    <w:aliases w:val="~Caption Char"/>
    <w:basedOn w:val="Standardnpsmoodstavce"/>
    <w:link w:val="Titulek"/>
    <w:uiPriority w:val="35"/>
    <w:rsid w:val="00D9365B"/>
    <w:rPr>
      <w:b/>
      <w:bCs/>
      <w:szCs w:val="18"/>
    </w:rPr>
  </w:style>
  <w:style w:type="paragraph" w:styleId="Odstavecseseznamem">
    <w:name w:val="List Paragraph"/>
    <w:basedOn w:val="Normln"/>
    <w:uiPriority w:val="34"/>
    <w:qFormat/>
    <w:rsid w:val="00DB74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B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740D"/>
  </w:style>
  <w:style w:type="paragraph" w:styleId="Zpat">
    <w:name w:val="footer"/>
    <w:basedOn w:val="Normln"/>
    <w:link w:val="ZpatChar"/>
    <w:uiPriority w:val="99"/>
    <w:unhideWhenUsed/>
    <w:rsid w:val="00DB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740D"/>
  </w:style>
  <w:style w:type="character" w:styleId="Hypertextovodkaz">
    <w:name w:val="Hyperlink"/>
    <w:basedOn w:val="Standardnpsmoodstavce"/>
    <w:uiPriority w:val="99"/>
    <w:unhideWhenUsed/>
    <w:rsid w:val="00DB740D"/>
    <w:rPr>
      <w:rFonts w:ascii="Arial" w:hAnsi="Arial"/>
      <w:strike w:val="0"/>
      <w:dstrike w:val="0"/>
      <w:color w:val="00559A"/>
      <w:u w:val="none"/>
      <w:effect w:val="none"/>
    </w:rPr>
  </w:style>
  <w:style w:type="paragraph" w:styleId="Podtitul">
    <w:name w:val="Subtitle"/>
    <w:aliases w:val="nadpis 2"/>
    <w:basedOn w:val="Normln"/>
    <w:next w:val="Normln"/>
    <w:link w:val="PodtitulChar"/>
    <w:qFormat/>
    <w:rsid w:val="00DB740D"/>
    <w:pPr>
      <w:keepNext/>
      <w:numPr>
        <w:ilvl w:val="1"/>
        <w:numId w:val="2"/>
      </w:numPr>
      <w:spacing w:before="120" w:after="120" w:line="240" w:lineRule="auto"/>
      <w:ind w:left="788" w:hanging="431"/>
    </w:pPr>
    <w:rPr>
      <w:rFonts w:asciiTheme="majorHAnsi" w:eastAsiaTheme="majorEastAsia" w:hAnsiTheme="majorHAnsi" w:cstheme="majorBidi"/>
      <w:b/>
      <w:iCs/>
      <w:spacing w:val="15"/>
      <w:sz w:val="24"/>
      <w:szCs w:val="24"/>
      <w:lang w:eastAsia="cs-CZ"/>
    </w:rPr>
  </w:style>
  <w:style w:type="character" w:customStyle="1" w:styleId="PodtitulChar">
    <w:name w:val="Podtitul Char"/>
    <w:aliases w:val="nadpis 2 Char"/>
    <w:basedOn w:val="Standardnpsmoodstavce"/>
    <w:link w:val="Podtitul"/>
    <w:rsid w:val="00DB740D"/>
    <w:rPr>
      <w:rFonts w:asciiTheme="majorHAnsi" w:eastAsiaTheme="majorEastAsia" w:hAnsiTheme="majorHAnsi" w:cstheme="majorBidi"/>
      <w:b/>
      <w:iCs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B74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DB74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Textpoznpodarou">
    <w:name w:val="footnote text"/>
    <w:aliases w:val="Schriftart: 9 pt,Schriftart: 10 pt,Schriftart: 8 pt,Text poznámky pod čiarou 007,Footnote,Fußnotentextf,Geneva 9,Font: Geneva 9,Boston 10,f,pozn. pod čarou,Char,Text pozn. pod čarou1,Char Char Char1,Char Char1,Footnote Text Char1,o"/>
    <w:basedOn w:val="Normln"/>
    <w:link w:val="TextpoznpodarouChar"/>
    <w:uiPriority w:val="99"/>
    <w:qFormat/>
    <w:rsid w:val="00DB740D"/>
    <w:pPr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,Fußnotentextf Char,Geneva 9 Char,Font: Geneva 9 Char,Boston 10 Char,f Char,pozn. pod čarou Char,Char Char,o Char"/>
    <w:basedOn w:val="Standardnpsmoodstavce"/>
    <w:link w:val="Textpoznpodarou"/>
    <w:uiPriority w:val="99"/>
    <w:rsid w:val="00DB740D"/>
    <w:rPr>
      <w:rFonts w:ascii="Arial" w:eastAsia="Times New Roman" w:hAnsi="Arial" w:cs="Times New Roman"/>
      <w:sz w:val="18"/>
      <w:szCs w:val="20"/>
      <w:lang w:eastAsia="cs-CZ"/>
    </w:rPr>
  </w:style>
  <w:style w:type="character" w:styleId="Znakapoznpodarou">
    <w:name w:val="footnote reference"/>
    <w:aliases w:val="BVI fnr,Footnote symbol,Footnote Reference Superscript,Appel note de bas de p,Appel note de bas de page,Légende,Char Car Car Car Car,Voetnootverwijzing,PGI Fußnote Ziffer,Footnote Reference Number,Légende;Char Car Car Car Car"/>
    <w:basedOn w:val="Standardnpsmoodstavce"/>
    <w:uiPriority w:val="99"/>
    <w:rsid w:val="00DB740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40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DB740D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rsid w:val="00DB74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B7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74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740D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74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DB740D"/>
    <w:pPr>
      <w:spacing w:after="0" w:line="240" w:lineRule="auto"/>
    </w:pPr>
  </w:style>
  <w:style w:type="paragraph" w:customStyle="1" w:styleId="Obrzek-nadpis">
    <w:name w:val="Obrázek - nadpis"/>
    <w:basedOn w:val="Normln"/>
    <w:qFormat/>
    <w:rsid w:val="00DB740D"/>
    <w:pPr>
      <w:keepNext/>
      <w:spacing w:before="120" w:after="240" w:line="240" w:lineRule="auto"/>
      <w:jc w:val="both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Zdroj">
    <w:name w:val="Zdroj"/>
    <w:basedOn w:val="Normln"/>
    <w:qFormat/>
    <w:rsid w:val="00DB740D"/>
    <w:pPr>
      <w:spacing w:before="120" w:after="120" w:line="240" w:lineRule="auto"/>
    </w:pPr>
    <w:rPr>
      <w:rFonts w:ascii="Arial" w:eastAsia="Times New Roman" w:hAnsi="Arial" w:cs="Times New Roman"/>
      <w:i/>
      <w:sz w:val="18"/>
      <w:szCs w:val="24"/>
      <w:lang w:eastAsia="cs-CZ"/>
    </w:rPr>
  </w:style>
  <w:style w:type="paragraph" w:customStyle="1" w:styleId="komentzaobrzkem">
    <w:name w:val="komentář za obrázkem"/>
    <w:basedOn w:val="Normln"/>
    <w:qFormat/>
    <w:rsid w:val="00DB740D"/>
    <w:pPr>
      <w:spacing w:after="60" w:line="240" w:lineRule="auto"/>
      <w:jc w:val="both"/>
    </w:pPr>
    <w:rPr>
      <w:rFonts w:ascii="Arial" w:eastAsia="Times New Roman" w:hAnsi="Arial" w:cs="Times New Roman"/>
      <w:i/>
      <w:sz w:val="18"/>
      <w:szCs w:val="24"/>
      <w:lang w:eastAsia="cs-CZ"/>
    </w:rPr>
  </w:style>
  <w:style w:type="paragraph" w:customStyle="1" w:styleId="komentzaobrzkem-odrky">
    <w:name w:val="komentář za obrázkem - odrážky"/>
    <w:basedOn w:val="komentzaobrzkem"/>
    <w:qFormat/>
    <w:rsid w:val="00DB740D"/>
    <w:pPr>
      <w:numPr>
        <w:ilvl w:val="2"/>
        <w:numId w:val="1"/>
      </w:numPr>
      <w:spacing w:after="0"/>
    </w:pPr>
  </w:style>
  <w:style w:type="paragraph" w:customStyle="1" w:styleId="NadpisurovenI">
    <w:name w:val="Nadpis_uroven_I"/>
    <w:basedOn w:val="Normln"/>
    <w:qFormat/>
    <w:rsid w:val="00DB740D"/>
    <w:pPr>
      <w:keepNext/>
      <w:keepLines/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NadpisurovemII">
    <w:name w:val="Nadpis_urovem_II"/>
    <w:basedOn w:val="NadpisurovenI"/>
    <w:qFormat/>
    <w:rsid w:val="00DB740D"/>
    <w:pPr>
      <w:spacing w:before="120" w:after="120"/>
    </w:pPr>
    <w:rPr>
      <w:sz w:val="24"/>
    </w:rPr>
  </w:style>
  <w:style w:type="paragraph" w:customStyle="1" w:styleId="Platformanadpis">
    <w:name w:val="Platforma_nadpis"/>
    <w:basedOn w:val="Normln"/>
    <w:qFormat/>
    <w:rsid w:val="00DB740D"/>
    <w:pPr>
      <w:spacing w:before="120" w:after="120" w:line="240" w:lineRule="auto"/>
      <w:jc w:val="both"/>
    </w:pPr>
    <w:rPr>
      <w:rFonts w:ascii="Arial" w:eastAsia="Times New Roman" w:hAnsi="Arial" w:cs="Arial"/>
      <w:b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740D"/>
    <w:pPr>
      <w:spacing w:after="120"/>
      <w:jc w:val="left"/>
      <w:outlineLvl w:val="9"/>
    </w:pPr>
    <w:rPr>
      <w:color w:val="365F91" w:themeColor="accent1" w:themeShade="BF"/>
      <w:sz w:val="36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D02F65"/>
    <w:pPr>
      <w:tabs>
        <w:tab w:val="right" w:leader="dot" w:pos="9072"/>
      </w:tabs>
      <w:spacing w:after="100"/>
      <w:ind w:left="426" w:right="1416" w:hanging="426"/>
    </w:pPr>
    <w:rPr>
      <w:rFonts w:ascii="Arial" w:hAnsi="Arial"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B740D"/>
    <w:pPr>
      <w:tabs>
        <w:tab w:val="right" w:leader="dot" w:pos="9639"/>
      </w:tabs>
      <w:spacing w:after="100"/>
      <w:ind w:left="426" w:right="1416" w:hanging="426"/>
    </w:pPr>
    <w:rPr>
      <w:rFonts w:ascii="Arial" w:eastAsiaTheme="minorEastAsia" w:hAnsi="Arial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B740D"/>
    <w:pPr>
      <w:spacing w:after="100"/>
      <w:ind w:left="440"/>
    </w:pPr>
    <w:rPr>
      <w:rFonts w:ascii="Arial" w:eastAsiaTheme="minorEastAsia" w:hAnsi="Arial"/>
      <w:lang w:eastAsia="cs-CZ"/>
    </w:rPr>
  </w:style>
  <w:style w:type="paragraph" w:styleId="Bezmezer">
    <w:name w:val="No Spacing"/>
    <w:uiPriority w:val="1"/>
    <w:qFormat/>
    <w:rsid w:val="00DB740D"/>
    <w:pPr>
      <w:spacing w:after="0" w:line="240" w:lineRule="auto"/>
    </w:pPr>
  </w:style>
  <w:style w:type="paragraph" w:styleId="Textvysvtlivek">
    <w:name w:val="endnote text"/>
    <w:basedOn w:val="Normln"/>
    <w:link w:val="TextvysvtlivekChar"/>
    <w:uiPriority w:val="99"/>
    <w:unhideWhenUsed/>
    <w:rsid w:val="00DB740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DB740D"/>
    <w:rPr>
      <w:sz w:val="20"/>
      <w:szCs w:val="20"/>
    </w:rPr>
  </w:style>
  <w:style w:type="character" w:customStyle="1" w:styleId="st1">
    <w:name w:val="st1"/>
    <w:rsid w:val="00DB740D"/>
  </w:style>
  <w:style w:type="paragraph" w:customStyle="1" w:styleId="Default">
    <w:name w:val="Default"/>
    <w:rsid w:val="00DB74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xsptextcomputedfield">
    <w:name w:val="xsptextcomputedfield"/>
    <w:basedOn w:val="Standardnpsmoodstavce"/>
    <w:rsid w:val="00DB740D"/>
  </w:style>
  <w:style w:type="table" w:styleId="Mkatabulky">
    <w:name w:val="Table Grid"/>
    <w:basedOn w:val="Normlntabulka"/>
    <w:uiPriority w:val="59"/>
    <w:rsid w:val="00A94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obrzk">
    <w:name w:val="table of figures"/>
    <w:basedOn w:val="Normln"/>
    <w:next w:val="Normln"/>
    <w:uiPriority w:val="99"/>
    <w:unhideWhenUsed/>
    <w:rsid w:val="0072245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740D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97634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976340"/>
    <w:pPr>
      <w:keepNext/>
      <w:keepLines/>
      <w:spacing w:before="200" w:after="0"/>
      <w:outlineLvl w:val="1"/>
    </w:pPr>
    <w:rPr>
      <w:rFonts w:eastAsiaTheme="majorEastAsia" w:cstheme="majorBidi"/>
      <w:bCs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B740D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634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76340"/>
    <w:rPr>
      <w:rFonts w:ascii="Arial" w:eastAsiaTheme="majorEastAsia" w:hAnsi="Arial" w:cstheme="majorBidi"/>
      <w:bCs/>
      <w:sz w:val="24"/>
      <w:szCs w:val="26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DB740D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Titulek">
    <w:name w:val="caption"/>
    <w:aliases w:val="~Caption"/>
    <w:basedOn w:val="Normln"/>
    <w:next w:val="Normln"/>
    <w:link w:val="TitulekChar"/>
    <w:autoRedefine/>
    <w:uiPriority w:val="35"/>
    <w:unhideWhenUsed/>
    <w:qFormat/>
    <w:rsid w:val="00D9365B"/>
    <w:pPr>
      <w:keepNext/>
      <w:spacing w:line="240" w:lineRule="auto"/>
      <w:jc w:val="center"/>
    </w:pPr>
    <w:rPr>
      <w:b/>
      <w:bCs/>
      <w:szCs w:val="18"/>
    </w:rPr>
  </w:style>
  <w:style w:type="character" w:customStyle="1" w:styleId="TitulekChar">
    <w:name w:val="Titulek Char"/>
    <w:aliases w:val="~Caption Char"/>
    <w:basedOn w:val="Standardnpsmoodstavce"/>
    <w:link w:val="Titulek"/>
    <w:uiPriority w:val="35"/>
    <w:rsid w:val="00D9365B"/>
    <w:rPr>
      <w:b/>
      <w:bCs/>
      <w:szCs w:val="18"/>
    </w:rPr>
  </w:style>
  <w:style w:type="paragraph" w:styleId="Odstavecseseznamem">
    <w:name w:val="List Paragraph"/>
    <w:basedOn w:val="Normln"/>
    <w:uiPriority w:val="34"/>
    <w:qFormat/>
    <w:rsid w:val="00DB74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B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740D"/>
  </w:style>
  <w:style w:type="paragraph" w:styleId="Zpat">
    <w:name w:val="footer"/>
    <w:basedOn w:val="Normln"/>
    <w:link w:val="ZpatChar"/>
    <w:uiPriority w:val="99"/>
    <w:unhideWhenUsed/>
    <w:rsid w:val="00DB7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740D"/>
  </w:style>
  <w:style w:type="character" w:styleId="Hypertextovodkaz">
    <w:name w:val="Hyperlink"/>
    <w:basedOn w:val="Standardnpsmoodstavce"/>
    <w:uiPriority w:val="99"/>
    <w:unhideWhenUsed/>
    <w:rsid w:val="00DB740D"/>
    <w:rPr>
      <w:rFonts w:ascii="Arial" w:hAnsi="Arial"/>
      <w:strike w:val="0"/>
      <w:dstrike w:val="0"/>
      <w:color w:val="00559A"/>
      <w:u w:val="none"/>
      <w:effect w:val="none"/>
    </w:rPr>
  </w:style>
  <w:style w:type="paragraph" w:styleId="Podtitul">
    <w:name w:val="Subtitle"/>
    <w:aliases w:val="nadpis 2"/>
    <w:basedOn w:val="Normln"/>
    <w:next w:val="Normln"/>
    <w:link w:val="PodtitulChar"/>
    <w:qFormat/>
    <w:rsid w:val="00DB740D"/>
    <w:pPr>
      <w:keepNext/>
      <w:numPr>
        <w:ilvl w:val="1"/>
        <w:numId w:val="2"/>
      </w:numPr>
      <w:spacing w:before="120" w:after="120" w:line="240" w:lineRule="auto"/>
      <w:ind w:left="788" w:hanging="431"/>
    </w:pPr>
    <w:rPr>
      <w:rFonts w:asciiTheme="majorHAnsi" w:eastAsiaTheme="majorEastAsia" w:hAnsiTheme="majorHAnsi" w:cstheme="majorBidi"/>
      <w:b/>
      <w:iCs/>
      <w:spacing w:val="15"/>
      <w:sz w:val="24"/>
      <w:szCs w:val="24"/>
      <w:lang w:eastAsia="cs-CZ"/>
    </w:rPr>
  </w:style>
  <w:style w:type="character" w:customStyle="1" w:styleId="PodtitulChar">
    <w:name w:val="Podtitul Char"/>
    <w:aliases w:val="nadpis 2 Char"/>
    <w:basedOn w:val="Standardnpsmoodstavce"/>
    <w:link w:val="Podtitul"/>
    <w:rsid w:val="00DB740D"/>
    <w:rPr>
      <w:rFonts w:asciiTheme="majorHAnsi" w:eastAsiaTheme="majorEastAsia" w:hAnsiTheme="majorHAnsi" w:cstheme="majorBidi"/>
      <w:b/>
      <w:iCs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B74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DB74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Textpoznpodarou">
    <w:name w:val="footnote text"/>
    <w:aliases w:val="Schriftart: 9 pt,Schriftart: 10 pt,Schriftart: 8 pt,Text poznámky pod čiarou 007,Footnote,Fußnotentextf,Geneva 9,Font: Geneva 9,Boston 10,f,pozn. pod čarou,Char,Text pozn. pod čarou1,Char Char Char1,Char Char1,Footnote Text Char1,o"/>
    <w:basedOn w:val="Normln"/>
    <w:link w:val="TextpoznpodarouChar"/>
    <w:uiPriority w:val="99"/>
    <w:qFormat/>
    <w:rsid w:val="00DB740D"/>
    <w:pPr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,Fußnotentextf Char,Geneva 9 Char,Font: Geneva 9 Char,Boston 10 Char,f Char,pozn. pod čarou Char,Char Char,o Char"/>
    <w:basedOn w:val="Standardnpsmoodstavce"/>
    <w:link w:val="Textpoznpodarou"/>
    <w:uiPriority w:val="99"/>
    <w:rsid w:val="00DB740D"/>
    <w:rPr>
      <w:rFonts w:ascii="Arial" w:eastAsia="Times New Roman" w:hAnsi="Arial" w:cs="Times New Roman"/>
      <w:sz w:val="18"/>
      <w:szCs w:val="20"/>
      <w:lang w:eastAsia="cs-CZ"/>
    </w:rPr>
  </w:style>
  <w:style w:type="character" w:styleId="Znakapoznpodarou">
    <w:name w:val="footnote reference"/>
    <w:aliases w:val="BVI fnr,Footnote symbol,Footnote Reference Superscript,Appel note de bas de p,Appel note de bas de page,Légende,Char Car Car Car Car,Voetnootverwijzing,PGI Fußnote Ziffer,Footnote Reference Number,Légende;Char Car Car Car Car"/>
    <w:basedOn w:val="Standardnpsmoodstavce"/>
    <w:uiPriority w:val="99"/>
    <w:rsid w:val="00DB740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40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DB740D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rsid w:val="00DB74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B7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B74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740D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74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DB740D"/>
    <w:pPr>
      <w:spacing w:after="0" w:line="240" w:lineRule="auto"/>
    </w:pPr>
  </w:style>
  <w:style w:type="paragraph" w:customStyle="1" w:styleId="Obrzek-nadpis">
    <w:name w:val="Obrázek - nadpis"/>
    <w:basedOn w:val="Normln"/>
    <w:qFormat/>
    <w:rsid w:val="00DB740D"/>
    <w:pPr>
      <w:keepNext/>
      <w:spacing w:before="120" w:after="240" w:line="240" w:lineRule="auto"/>
      <w:jc w:val="both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Zdroj">
    <w:name w:val="Zdroj"/>
    <w:basedOn w:val="Normln"/>
    <w:qFormat/>
    <w:rsid w:val="00DB740D"/>
    <w:pPr>
      <w:spacing w:before="120" w:after="120" w:line="240" w:lineRule="auto"/>
    </w:pPr>
    <w:rPr>
      <w:rFonts w:ascii="Arial" w:eastAsia="Times New Roman" w:hAnsi="Arial" w:cs="Times New Roman"/>
      <w:i/>
      <w:sz w:val="18"/>
      <w:szCs w:val="24"/>
      <w:lang w:eastAsia="cs-CZ"/>
    </w:rPr>
  </w:style>
  <w:style w:type="paragraph" w:customStyle="1" w:styleId="komentzaobrzkem">
    <w:name w:val="komentář za obrázkem"/>
    <w:basedOn w:val="Normln"/>
    <w:qFormat/>
    <w:rsid w:val="00DB740D"/>
    <w:pPr>
      <w:spacing w:after="60" w:line="240" w:lineRule="auto"/>
      <w:jc w:val="both"/>
    </w:pPr>
    <w:rPr>
      <w:rFonts w:ascii="Arial" w:eastAsia="Times New Roman" w:hAnsi="Arial" w:cs="Times New Roman"/>
      <w:i/>
      <w:sz w:val="18"/>
      <w:szCs w:val="24"/>
      <w:lang w:eastAsia="cs-CZ"/>
    </w:rPr>
  </w:style>
  <w:style w:type="paragraph" w:customStyle="1" w:styleId="komentzaobrzkem-odrky">
    <w:name w:val="komentář za obrázkem - odrážky"/>
    <w:basedOn w:val="komentzaobrzkem"/>
    <w:qFormat/>
    <w:rsid w:val="00DB740D"/>
    <w:pPr>
      <w:numPr>
        <w:ilvl w:val="2"/>
        <w:numId w:val="1"/>
      </w:numPr>
      <w:spacing w:after="0"/>
    </w:pPr>
  </w:style>
  <w:style w:type="paragraph" w:customStyle="1" w:styleId="NadpisurovenI">
    <w:name w:val="Nadpis_uroven_I"/>
    <w:basedOn w:val="Normln"/>
    <w:qFormat/>
    <w:rsid w:val="00DB740D"/>
    <w:pPr>
      <w:keepNext/>
      <w:keepLines/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NadpisurovemII">
    <w:name w:val="Nadpis_urovem_II"/>
    <w:basedOn w:val="NadpisurovenI"/>
    <w:qFormat/>
    <w:rsid w:val="00DB740D"/>
    <w:pPr>
      <w:spacing w:before="120" w:after="120"/>
    </w:pPr>
    <w:rPr>
      <w:sz w:val="24"/>
    </w:rPr>
  </w:style>
  <w:style w:type="paragraph" w:customStyle="1" w:styleId="Platformanadpis">
    <w:name w:val="Platforma_nadpis"/>
    <w:basedOn w:val="Normln"/>
    <w:qFormat/>
    <w:rsid w:val="00DB740D"/>
    <w:pPr>
      <w:spacing w:before="120" w:after="120" w:line="240" w:lineRule="auto"/>
      <w:jc w:val="both"/>
    </w:pPr>
    <w:rPr>
      <w:rFonts w:ascii="Arial" w:eastAsia="Times New Roman" w:hAnsi="Arial" w:cs="Arial"/>
      <w:b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740D"/>
    <w:pPr>
      <w:spacing w:after="120"/>
      <w:jc w:val="left"/>
      <w:outlineLvl w:val="9"/>
    </w:pPr>
    <w:rPr>
      <w:color w:val="365F91" w:themeColor="accent1" w:themeShade="BF"/>
      <w:sz w:val="36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D02F65"/>
    <w:pPr>
      <w:tabs>
        <w:tab w:val="right" w:leader="dot" w:pos="9072"/>
      </w:tabs>
      <w:spacing w:after="100"/>
      <w:ind w:left="426" w:right="1416" w:hanging="426"/>
    </w:pPr>
    <w:rPr>
      <w:rFonts w:ascii="Arial" w:hAnsi="Arial"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B740D"/>
    <w:pPr>
      <w:tabs>
        <w:tab w:val="right" w:leader="dot" w:pos="9639"/>
      </w:tabs>
      <w:spacing w:after="100"/>
      <w:ind w:left="426" w:right="1416" w:hanging="426"/>
    </w:pPr>
    <w:rPr>
      <w:rFonts w:ascii="Arial" w:eastAsiaTheme="minorEastAsia" w:hAnsi="Arial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DB740D"/>
    <w:pPr>
      <w:spacing w:after="100"/>
      <w:ind w:left="440"/>
    </w:pPr>
    <w:rPr>
      <w:rFonts w:ascii="Arial" w:eastAsiaTheme="minorEastAsia" w:hAnsi="Arial"/>
      <w:lang w:eastAsia="cs-CZ"/>
    </w:rPr>
  </w:style>
  <w:style w:type="paragraph" w:styleId="Bezmezer">
    <w:name w:val="No Spacing"/>
    <w:uiPriority w:val="1"/>
    <w:qFormat/>
    <w:rsid w:val="00DB740D"/>
    <w:pPr>
      <w:spacing w:after="0" w:line="240" w:lineRule="auto"/>
    </w:pPr>
  </w:style>
  <w:style w:type="paragraph" w:styleId="Textvysvtlivek">
    <w:name w:val="endnote text"/>
    <w:basedOn w:val="Normln"/>
    <w:link w:val="TextvysvtlivekChar"/>
    <w:uiPriority w:val="99"/>
    <w:unhideWhenUsed/>
    <w:rsid w:val="00DB740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DB740D"/>
    <w:rPr>
      <w:sz w:val="20"/>
      <w:szCs w:val="20"/>
    </w:rPr>
  </w:style>
  <w:style w:type="character" w:customStyle="1" w:styleId="st1">
    <w:name w:val="st1"/>
    <w:rsid w:val="00DB740D"/>
  </w:style>
  <w:style w:type="paragraph" w:customStyle="1" w:styleId="Default">
    <w:name w:val="Default"/>
    <w:rsid w:val="00DB74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xsptextcomputedfield">
    <w:name w:val="xsptextcomputedfield"/>
    <w:basedOn w:val="Standardnpsmoodstavce"/>
    <w:rsid w:val="00DB740D"/>
  </w:style>
  <w:style w:type="table" w:styleId="Mkatabulky">
    <w:name w:val="Table Grid"/>
    <w:basedOn w:val="Normlntabulka"/>
    <w:uiPriority w:val="59"/>
    <w:rsid w:val="00A94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obrzk">
    <w:name w:val="table of figures"/>
    <w:basedOn w:val="Normln"/>
    <w:next w:val="Normln"/>
    <w:uiPriority w:val="99"/>
    <w:unhideWhenUsed/>
    <w:rsid w:val="0072245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lanaro\Desktop\prezentace_NM_RIS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bilik\UVCR\analyza\2.%20sber_OP\2.sber_analyza\analyza_MPO_OPPIK\OP%20PIK_RIS3_31-10-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ilik\Desktop\OPPI_OPPIK_2007_10_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pivotSource>
    <c:name>[OP_RIS3_15-1017.xlsx]SC_fin_02!Kontingenční tabulka 1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</c:pivotFmts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801791935914684"/>
          <c:y val="0.24655927391970267"/>
          <c:w val="0.47727283647023255"/>
          <c:h val="0.70642230775876569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SC_fin_02!$B$8</c:f>
              <c:strCache>
                <c:ptCount val="1"/>
                <c:pt idx="0">
                  <c:v>2015-05.2017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4441841312024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715961931899072E-3"/>
                  <c:y val="1.0831380984018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715961931899072E-3"/>
                  <c:y val="1.4441841312024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SC_fin_02!$A$9:$A$12</c:f>
              <c:strCache>
                <c:ptCount val="3"/>
                <c:pt idx="0">
                  <c:v>A Vyšší inovační výkonnost firem</c:v>
                </c:pt>
                <c:pt idx="1">
                  <c:v>C Zvýšení ekonomických přínosů veřejného výzkumu</c:v>
                </c:pt>
                <c:pt idx="2">
                  <c:v>E Rozvoj eGovernmentu a eBusinessu pro zvýšení konkurenceschopnosti (rozvoj ICT a digitální agenda)</c:v>
                </c:pt>
              </c:strCache>
            </c:strRef>
          </c:cat>
          <c:val>
            <c:numRef>
              <c:f>SC_fin_02!$B$9:$B$12</c:f>
              <c:numCache>
                <c:formatCode>General</c:formatCode>
                <c:ptCount val="3"/>
                <c:pt idx="0">
                  <c:v>12.8</c:v>
                </c:pt>
                <c:pt idx="1">
                  <c:v>3.03</c:v>
                </c:pt>
                <c:pt idx="2">
                  <c:v>4.3899999999999997</c:v>
                </c:pt>
              </c:numCache>
            </c:numRef>
          </c:val>
        </c:ser>
        <c:ser>
          <c:idx val="1"/>
          <c:order val="1"/>
          <c:tx>
            <c:strRef>
              <c:f>SC_fin_02!$C$8</c:f>
              <c:strCache>
                <c:ptCount val="1"/>
                <c:pt idx="0">
                  <c:v>2015-10.2017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571987310633025E-3"/>
                  <c:y val="1.8052301640030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715961931899072E-3"/>
                  <c:y val="3.61046032800612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715961931899072E-3"/>
                  <c:y val="1.0831380984018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SC_fin_02!$A$9:$A$12</c:f>
              <c:strCache>
                <c:ptCount val="3"/>
                <c:pt idx="0">
                  <c:v>A Vyšší inovační výkonnost firem</c:v>
                </c:pt>
                <c:pt idx="1">
                  <c:v>C Zvýšení ekonomických přínosů veřejného výzkumu</c:v>
                </c:pt>
                <c:pt idx="2">
                  <c:v>E Rozvoj eGovernmentu a eBusinessu pro zvýšení konkurenceschopnosti (rozvoj ICT a digitální agenda)</c:v>
                </c:pt>
              </c:strCache>
            </c:strRef>
          </c:cat>
          <c:val>
            <c:numRef>
              <c:f>SC_fin_02!$C$9:$C$12</c:f>
              <c:numCache>
                <c:formatCode>General</c:formatCode>
                <c:ptCount val="3"/>
                <c:pt idx="0">
                  <c:v>29.17</c:v>
                </c:pt>
                <c:pt idx="1">
                  <c:v>4.07</c:v>
                </c:pt>
                <c:pt idx="2">
                  <c:v>7.94</c:v>
                </c:pt>
              </c:numCache>
            </c:numRef>
          </c:val>
        </c:ser>
        <c:ser>
          <c:idx val="2"/>
          <c:order val="2"/>
          <c:tx>
            <c:strRef>
              <c:f>SC_fin_02!$D$8</c:f>
              <c:strCache>
                <c:ptCount val="1"/>
                <c:pt idx="0">
                  <c:v>Plán RIS3</c:v>
                </c:pt>
              </c:strCache>
            </c:strRef>
          </c:tx>
          <c:invertIfNegative val="0"/>
          <c:cat>
            <c:strRef>
              <c:f>SC_fin_02!$A$9:$A$12</c:f>
              <c:strCache>
                <c:ptCount val="3"/>
                <c:pt idx="0">
                  <c:v>A Vyšší inovační výkonnost firem</c:v>
                </c:pt>
                <c:pt idx="1">
                  <c:v>C Zvýšení ekonomických přínosů veřejného výzkumu</c:v>
                </c:pt>
                <c:pt idx="2">
                  <c:v>E Rozvoj eGovernmentu a eBusinessu pro zvýšení konkurenceschopnosti (rozvoj ICT a digitální agenda)</c:v>
                </c:pt>
              </c:strCache>
            </c:strRef>
          </c:cat>
          <c:val>
            <c:numRef>
              <c:f>SC_fin_02!$D$9:$D$12</c:f>
              <c:numCache>
                <c:formatCode>General</c:formatCode>
                <c:ptCount val="3"/>
                <c:pt idx="0">
                  <c:v>97.63</c:v>
                </c:pt>
                <c:pt idx="1">
                  <c:v>2.04</c:v>
                </c:pt>
                <c:pt idx="2">
                  <c:v>38.229999999999997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2669696"/>
        <c:axId val="134063232"/>
        <c:axId val="0"/>
      </c:bar3DChart>
      <c:catAx>
        <c:axId val="352669696"/>
        <c:scaling>
          <c:orientation val="maxMin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cs-CZ"/>
                  <a:t>Cíle RIS3</a:t>
                </a:r>
              </a:p>
            </c:rich>
          </c:tx>
          <c:layout>
            <c:manualLayout>
              <c:xMode val="edge"/>
              <c:yMode val="edge"/>
              <c:x val="0.17839583493860406"/>
              <c:y val="0.24902974280867363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34063232"/>
        <c:crosses val="autoZero"/>
        <c:auto val="1"/>
        <c:lblAlgn val="ctr"/>
        <c:lblOffset val="100"/>
        <c:noMultiLvlLbl val="0"/>
      </c:catAx>
      <c:valAx>
        <c:axId val="134063232"/>
        <c:scaling>
          <c:orientation val="minMax"/>
        </c:scaling>
        <c:delete val="0"/>
        <c:axPos val="t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v mld. Kč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526696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[prezentace_NM_RIS3.xlsx]AO_fin!Kontingenční tabulka 2</c:name>
    <c:fmtId val="-1"/>
  </c:pivotSource>
  <c:chart>
    <c:autoTitleDeleted val="1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</c:pivotFmts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AO_fin!$B$3:$B$4</c:f>
              <c:strCache>
                <c:ptCount val="1"/>
                <c:pt idx="0">
                  <c:v>2007-2014 (čerpané z OP PI)</c:v>
                </c:pt>
              </c:strCache>
            </c:strRef>
          </c:tx>
          <c:invertIfNegative val="0"/>
          <c:cat>
            <c:strRef>
              <c:f>AO_fin!$A$5:$A$25</c:f>
              <c:strCache>
                <c:ptCount val="20"/>
                <c:pt idx="0">
                  <c:v>Automotive</c:v>
                </c:pt>
                <c:pt idx="1">
                  <c:v>Bezpečnostní výzkum; Výzkum ve zdravotnictví</c:v>
                </c:pt>
                <c:pt idx="2">
                  <c:v>Digitální ekonomika a digitální obsah</c:v>
                </c:pt>
                <c:pt idx="3">
                  <c:v>Elektronika a elektrotechnika</c:v>
                </c:pt>
                <c:pt idx="4">
                  <c:v>Energetika</c:v>
                </c:pt>
                <c:pt idx="5">
                  <c:v>Gumárenství a plastikářství</c:v>
                </c:pt>
                <c:pt idx="6">
                  <c:v>Hutnictví</c:v>
                </c:pt>
                <c:pt idx="7">
                  <c:v>Chemie a chemický průmysl</c:v>
                </c:pt>
                <c:pt idx="8">
                  <c:v>Léčiva, biotechnologie, prostředky zdrav. techniky, Life Sciences</c:v>
                </c:pt>
                <c:pt idx="9">
                  <c:v>Letecký a kosmický průmysl </c:v>
                </c:pt>
                <c:pt idx="10">
                  <c:v>neurčeno</c:v>
                </c:pt>
                <c:pt idx="11">
                  <c:v>Sklářství a keramika</c:v>
                </c:pt>
                <c:pt idx="12">
                  <c:v>Strojírenství-mechatronika</c:v>
                </c:pt>
                <c:pt idx="13">
                  <c:v>Textil</c:v>
                </c:pt>
                <c:pt idx="14">
                  <c:v>Tradiční kulturní a kreativní průmysly</c:v>
                </c:pt>
                <c:pt idx="15">
                  <c:v>Udržitelná produkce potravin</c:v>
                </c:pt>
                <c:pt idx="16">
                  <c:v>Udržitelné hospodaření s přírodními zdroji</c:v>
                </c:pt>
                <c:pt idx="17">
                  <c:v>Udržitelné zemědělství a lesnictví</c:v>
                </c:pt>
                <c:pt idx="18">
                  <c:v>Zajištění zdravého a kvalitního životního prostředí a efektivní využívání přír. zdrojů</c:v>
                </c:pt>
                <c:pt idx="19">
                  <c:v>Železniční a kolejová vozidla</c:v>
                </c:pt>
              </c:strCache>
            </c:strRef>
          </c:cat>
          <c:val>
            <c:numRef>
              <c:f>AO_fin!$B$5:$B$25</c:f>
              <c:numCache>
                <c:formatCode>General</c:formatCode>
                <c:ptCount val="20"/>
                <c:pt idx="0" formatCode="0.#0,,,">
                  <c:v>6271526126</c:v>
                </c:pt>
                <c:pt idx="2" formatCode="0.#0,,,">
                  <c:v>16394256875</c:v>
                </c:pt>
                <c:pt idx="3" formatCode="0.#0,,,">
                  <c:v>10330184898</c:v>
                </c:pt>
                <c:pt idx="4" formatCode="0.#0,,,">
                  <c:v>17506000</c:v>
                </c:pt>
                <c:pt idx="5" formatCode="0.#0,,,">
                  <c:v>6319811808</c:v>
                </c:pt>
                <c:pt idx="6" formatCode="0.#0,,,">
                  <c:v>1904414863</c:v>
                </c:pt>
                <c:pt idx="7" formatCode="0.#0,,,">
                  <c:v>3761944505</c:v>
                </c:pt>
                <c:pt idx="8" formatCode="0.#0,,,">
                  <c:v>2539744574</c:v>
                </c:pt>
                <c:pt idx="9" formatCode="0.#0,,,">
                  <c:v>1298700154</c:v>
                </c:pt>
                <c:pt idx="10" formatCode="0.#0,,,">
                  <c:v>3485017487</c:v>
                </c:pt>
                <c:pt idx="11" formatCode="0.#0,,,">
                  <c:v>4231913692</c:v>
                </c:pt>
                <c:pt idx="12" formatCode="0.#0,,,">
                  <c:v>28125040248</c:v>
                </c:pt>
                <c:pt idx="13" formatCode="0.#0,,,">
                  <c:v>2651039541</c:v>
                </c:pt>
                <c:pt idx="14" formatCode="0.#0,,,">
                  <c:v>5000170616</c:v>
                </c:pt>
                <c:pt idx="15" formatCode="0.#0,,,">
                  <c:v>1399092812</c:v>
                </c:pt>
                <c:pt idx="18" formatCode="0.#0,,,">
                  <c:v>1094243346</c:v>
                </c:pt>
                <c:pt idx="19" formatCode="0.#0,,,">
                  <c:v>581371000</c:v>
                </c:pt>
              </c:numCache>
            </c:numRef>
          </c:val>
        </c:ser>
        <c:ser>
          <c:idx val="1"/>
          <c:order val="1"/>
          <c:tx>
            <c:strRef>
              <c:f>AO_fin!$C$3:$C$4</c:f>
              <c:strCache>
                <c:ptCount val="1"/>
                <c:pt idx="0">
                  <c:v>2015-10.2017 (zazávazkované v OP PIK)</c:v>
                </c:pt>
              </c:strCache>
            </c:strRef>
          </c:tx>
          <c:invertIfNegative val="0"/>
          <c:cat>
            <c:strRef>
              <c:f>AO_fin!$A$5:$A$25</c:f>
              <c:strCache>
                <c:ptCount val="20"/>
                <c:pt idx="0">
                  <c:v>Automotive</c:v>
                </c:pt>
                <c:pt idx="1">
                  <c:v>Bezpečnostní výzkum; Výzkum ve zdravotnictví</c:v>
                </c:pt>
                <c:pt idx="2">
                  <c:v>Digitální ekonomika a digitální obsah</c:v>
                </c:pt>
                <c:pt idx="3">
                  <c:v>Elektronika a elektrotechnika</c:v>
                </c:pt>
                <c:pt idx="4">
                  <c:v>Energetika</c:v>
                </c:pt>
                <c:pt idx="5">
                  <c:v>Gumárenství a plastikářství</c:v>
                </c:pt>
                <c:pt idx="6">
                  <c:v>Hutnictví</c:v>
                </c:pt>
                <c:pt idx="7">
                  <c:v>Chemie a chemický průmysl</c:v>
                </c:pt>
                <c:pt idx="8">
                  <c:v>Léčiva, biotechnologie, prostředky zdrav. techniky, Life Sciences</c:v>
                </c:pt>
                <c:pt idx="9">
                  <c:v>Letecký a kosmický průmysl </c:v>
                </c:pt>
                <c:pt idx="10">
                  <c:v>neurčeno</c:v>
                </c:pt>
                <c:pt idx="11">
                  <c:v>Sklářství a keramika</c:v>
                </c:pt>
                <c:pt idx="12">
                  <c:v>Strojírenství-mechatronika</c:v>
                </c:pt>
                <c:pt idx="13">
                  <c:v>Textil</c:v>
                </c:pt>
                <c:pt idx="14">
                  <c:v>Tradiční kulturní a kreativní průmysly</c:v>
                </c:pt>
                <c:pt idx="15">
                  <c:v>Udržitelná produkce potravin</c:v>
                </c:pt>
                <c:pt idx="16">
                  <c:v>Udržitelné hospodaření s přírodními zdroji</c:v>
                </c:pt>
                <c:pt idx="17">
                  <c:v>Udržitelné zemědělství a lesnictví</c:v>
                </c:pt>
                <c:pt idx="18">
                  <c:v>Zajištění zdravého a kvalitního životního prostředí a efektivní využívání přír. zdrojů</c:v>
                </c:pt>
                <c:pt idx="19">
                  <c:v>Železniční a kolejová vozidla</c:v>
                </c:pt>
              </c:strCache>
            </c:strRef>
          </c:cat>
          <c:val>
            <c:numRef>
              <c:f>AO_fin!$C$5:$C$25</c:f>
              <c:numCache>
                <c:formatCode>0.#0,,,</c:formatCode>
                <c:ptCount val="20"/>
                <c:pt idx="0">
                  <c:v>3586277292</c:v>
                </c:pt>
                <c:pt idx="1">
                  <c:v>63051884.299999997</c:v>
                </c:pt>
                <c:pt idx="2">
                  <c:v>9599421574.0999985</c:v>
                </c:pt>
                <c:pt idx="3">
                  <c:v>3954306874.5</c:v>
                </c:pt>
                <c:pt idx="4">
                  <c:v>407377206</c:v>
                </c:pt>
                <c:pt idx="5">
                  <c:v>1365124938.4000001</c:v>
                </c:pt>
                <c:pt idx="6">
                  <c:v>1473464013</c:v>
                </c:pt>
                <c:pt idx="7">
                  <c:v>1173502621</c:v>
                </c:pt>
                <c:pt idx="8">
                  <c:v>1036293747</c:v>
                </c:pt>
                <c:pt idx="9">
                  <c:v>835223033</c:v>
                </c:pt>
                <c:pt idx="10">
                  <c:v>2171828429</c:v>
                </c:pt>
                <c:pt idx="11">
                  <c:v>930181755.89999998</c:v>
                </c:pt>
                <c:pt idx="12">
                  <c:v>9795829827.2000008</c:v>
                </c:pt>
                <c:pt idx="13">
                  <c:v>1406332055</c:v>
                </c:pt>
                <c:pt idx="14">
                  <c:v>1484144355.8</c:v>
                </c:pt>
                <c:pt idx="15">
                  <c:v>1114901201</c:v>
                </c:pt>
                <c:pt idx="16">
                  <c:v>74840551</c:v>
                </c:pt>
                <c:pt idx="17">
                  <c:v>160569600</c:v>
                </c:pt>
                <c:pt idx="18">
                  <c:v>404091951</c:v>
                </c:pt>
                <c:pt idx="19">
                  <c:v>138316166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727808"/>
        <c:axId val="184729600"/>
        <c:axId val="0"/>
      </c:bar3DChart>
      <c:catAx>
        <c:axId val="184727808"/>
        <c:scaling>
          <c:orientation val="minMax"/>
        </c:scaling>
        <c:delete val="0"/>
        <c:axPos val="l"/>
        <c:majorTickMark val="out"/>
        <c:minorTickMark val="none"/>
        <c:tickLblPos val="nextTo"/>
        <c:crossAx val="184729600"/>
        <c:crosses val="autoZero"/>
        <c:auto val="1"/>
        <c:lblAlgn val="ctr"/>
        <c:lblOffset val="100"/>
        <c:noMultiLvlLbl val="0"/>
      </c:catAx>
      <c:valAx>
        <c:axId val="18472960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 mld. Kč</a:t>
                </a:r>
              </a:p>
            </c:rich>
          </c:tx>
          <c:overlay val="0"/>
        </c:title>
        <c:numFmt formatCode="0.#0,,," sourceLinked="1"/>
        <c:majorTickMark val="out"/>
        <c:minorTickMark val="none"/>
        <c:tickLblPos val="nextTo"/>
        <c:crossAx val="1847278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2015-10.2017</a:t>
            </a:r>
          </a:p>
        </c:rich>
      </c:tx>
      <c:layout>
        <c:manualLayout>
          <c:xMode val="edge"/>
          <c:yMode val="edge"/>
          <c:x val="8.3252337044887839E-2"/>
          <c:y val="1.04540023894862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AO_kraje!$A$3</c:f>
              <c:strCache>
                <c:ptCount val="1"/>
                <c:pt idx="0">
                  <c:v>Automotive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AO_kraje!$B$3:$N$3</c:f>
              <c:numCache>
                <c:formatCode>General</c:formatCode>
                <c:ptCount val="13"/>
                <c:pt idx="0">
                  <c:v>0.1</c:v>
                </c:pt>
                <c:pt idx="1">
                  <c:v>0.05</c:v>
                </c:pt>
                <c:pt idx="3">
                  <c:v>0.08</c:v>
                </c:pt>
                <c:pt idx="4">
                  <c:v>7.0000000000000007E-2</c:v>
                </c:pt>
                <c:pt idx="5">
                  <c:v>0.44</c:v>
                </c:pt>
                <c:pt idx="6">
                  <c:v>0.51</c:v>
                </c:pt>
                <c:pt idx="7">
                  <c:v>0.05</c:v>
                </c:pt>
                <c:pt idx="8">
                  <c:v>0.33</c:v>
                </c:pt>
                <c:pt idx="9">
                  <c:v>0.21</c:v>
                </c:pt>
                <c:pt idx="10">
                  <c:v>0.93</c:v>
                </c:pt>
                <c:pt idx="11">
                  <c:v>0.01</c:v>
                </c:pt>
                <c:pt idx="12">
                  <c:v>0.8</c:v>
                </c:pt>
              </c:numCache>
            </c:numRef>
          </c:val>
        </c:ser>
        <c:ser>
          <c:idx val="1"/>
          <c:order val="1"/>
          <c:tx>
            <c:strRef>
              <c:f>AO_kraje!$A$4</c:f>
              <c:strCache>
                <c:ptCount val="1"/>
                <c:pt idx="0">
                  <c:v>Bezpečnostní výzkum; Výzkum ve zdravotnictví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AO_kraje!$B$4:$N$4</c:f>
              <c:numCache>
                <c:formatCode>General</c:formatCode>
                <c:ptCount val="13"/>
                <c:pt idx="1">
                  <c:v>0.02</c:v>
                </c:pt>
                <c:pt idx="5">
                  <c:v>0</c:v>
                </c:pt>
                <c:pt idx="6">
                  <c:v>0</c:v>
                </c:pt>
                <c:pt idx="10">
                  <c:v>0.03</c:v>
                </c:pt>
                <c:pt idx="11">
                  <c:v>0</c:v>
                </c:pt>
                <c:pt idx="12">
                  <c:v>0.01</c:v>
                </c:pt>
              </c:numCache>
            </c:numRef>
          </c:val>
        </c:ser>
        <c:ser>
          <c:idx val="2"/>
          <c:order val="2"/>
          <c:tx>
            <c:strRef>
              <c:f>AO_kraje!$A$5</c:f>
              <c:strCache>
                <c:ptCount val="1"/>
                <c:pt idx="0">
                  <c:v>Digitální ekonomika a digitální obsah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AO_kraje!$B$5:$N$5</c:f>
              <c:numCache>
                <c:formatCode>General</c:formatCode>
                <c:ptCount val="13"/>
                <c:pt idx="0">
                  <c:v>0.14000000000000001</c:v>
                </c:pt>
                <c:pt idx="1">
                  <c:v>4.2</c:v>
                </c:pt>
                <c:pt idx="2">
                  <c:v>0.06</c:v>
                </c:pt>
                <c:pt idx="3">
                  <c:v>0.27</c:v>
                </c:pt>
                <c:pt idx="4">
                  <c:v>0.24</c:v>
                </c:pt>
                <c:pt idx="5">
                  <c:v>0.11</c:v>
                </c:pt>
                <c:pt idx="6">
                  <c:v>0.84</c:v>
                </c:pt>
                <c:pt idx="7">
                  <c:v>0.28999999999999998</c:v>
                </c:pt>
                <c:pt idx="8">
                  <c:v>0.51</c:v>
                </c:pt>
                <c:pt idx="9">
                  <c:v>0.39</c:v>
                </c:pt>
                <c:pt idx="10">
                  <c:v>1.45</c:v>
                </c:pt>
                <c:pt idx="11">
                  <c:v>0.93</c:v>
                </c:pt>
                <c:pt idx="12">
                  <c:v>0.17</c:v>
                </c:pt>
              </c:numCache>
            </c:numRef>
          </c:val>
        </c:ser>
        <c:ser>
          <c:idx val="3"/>
          <c:order val="3"/>
          <c:tx>
            <c:strRef>
              <c:f>AO_kraje!$A$6</c:f>
              <c:strCache>
                <c:ptCount val="1"/>
                <c:pt idx="0">
                  <c:v>Elektronika a elektrotechnika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AO_kraje!$B$6:$N$6</c:f>
              <c:numCache>
                <c:formatCode>General</c:formatCode>
                <c:ptCount val="13"/>
                <c:pt idx="0">
                  <c:v>0.14000000000000001</c:v>
                </c:pt>
                <c:pt idx="1">
                  <c:v>1.1000000000000001</c:v>
                </c:pt>
                <c:pt idx="2">
                  <c:v>0</c:v>
                </c:pt>
                <c:pt idx="3">
                  <c:v>0.27</c:v>
                </c:pt>
                <c:pt idx="4">
                  <c:v>0.22</c:v>
                </c:pt>
                <c:pt idx="5">
                  <c:v>0.15</c:v>
                </c:pt>
                <c:pt idx="6">
                  <c:v>0.43</c:v>
                </c:pt>
                <c:pt idx="7">
                  <c:v>0.17</c:v>
                </c:pt>
                <c:pt idx="8">
                  <c:v>0.24</c:v>
                </c:pt>
                <c:pt idx="9">
                  <c:v>0.59</c:v>
                </c:pt>
                <c:pt idx="10">
                  <c:v>0.28999999999999998</c:v>
                </c:pt>
                <c:pt idx="11">
                  <c:v>0.03</c:v>
                </c:pt>
                <c:pt idx="12">
                  <c:v>0.32</c:v>
                </c:pt>
              </c:numCache>
            </c:numRef>
          </c:val>
        </c:ser>
        <c:ser>
          <c:idx val="4"/>
          <c:order val="4"/>
          <c:tx>
            <c:strRef>
              <c:f>AO_kraje!$A$7</c:f>
              <c:strCache>
                <c:ptCount val="1"/>
                <c:pt idx="0">
                  <c:v>Energetika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AO_kraje!$B$7:$N$7</c:f>
              <c:numCache>
                <c:formatCode>General</c:formatCode>
                <c:ptCount val="13"/>
                <c:pt idx="1">
                  <c:v>0.04</c:v>
                </c:pt>
                <c:pt idx="2">
                  <c:v>0.01</c:v>
                </c:pt>
                <c:pt idx="3">
                  <c:v>0.02</c:v>
                </c:pt>
                <c:pt idx="4">
                  <c:v>0</c:v>
                </c:pt>
                <c:pt idx="6">
                  <c:v>0.08</c:v>
                </c:pt>
                <c:pt idx="9">
                  <c:v>0.04</c:v>
                </c:pt>
                <c:pt idx="10">
                  <c:v>0.21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5"/>
          <c:order val="5"/>
          <c:tx>
            <c:strRef>
              <c:f>AO_kraje!$A$8</c:f>
              <c:strCache>
                <c:ptCount val="1"/>
                <c:pt idx="0">
                  <c:v>Gumárenství a plastikářství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AO_kraje!$B$8:$N$8</c:f>
              <c:numCache>
                <c:formatCode>General</c:formatCode>
                <c:ptCount val="13"/>
                <c:pt idx="1">
                  <c:v>0.13</c:v>
                </c:pt>
                <c:pt idx="3">
                  <c:v>0.04</c:v>
                </c:pt>
                <c:pt idx="4">
                  <c:v>0.01</c:v>
                </c:pt>
                <c:pt idx="5">
                  <c:v>0.12</c:v>
                </c:pt>
                <c:pt idx="6">
                  <c:v>0.01</c:v>
                </c:pt>
                <c:pt idx="7">
                  <c:v>7.0000000000000007E-2</c:v>
                </c:pt>
                <c:pt idx="8">
                  <c:v>0.1</c:v>
                </c:pt>
                <c:pt idx="9">
                  <c:v>0.05</c:v>
                </c:pt>
                <c:pt idx="10">
                  <c:v>0.38</c:v>
                </c:pt>
                <c:pt idx="11">
                  <c:v>0.12</c:v>
                </c:pt>
                <c:pt idx="12">
                  <c:v>0.34</c:v>
                </c:pt>
              </c:numCache>
            </c:numRef>
          </c:val>
        </c:ser>
        <c:ser>
          <c:idx val="6"/>
          <c:order val="6"/>
          <c:tx>
            <c:strRef>
              <c:f>AO_kraje!$A$9</c:f>
              <c:strCache>
                <c:ptCount val="1"/>
                <c:pt idx="0">
                  <c:v>Hutnictví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AO_kraje!$B$9:$N$9</c:f>
              <c:numCache>
                <c:formatCode>General</c:formatCode>
                <c:ptCount val="13"/>
                <c:pt idx="0">
                  <c:v>0.04</c:v>
                </c:pt>
                <c:pt idx="1">
                  <c:v>7.0000000000000007E-2</c:v>
                </c:pt>
                <c:pt idx="3">
                  <c:v>0.1</c:v>
                </c:pt>
                <c:pt idx="5">
                  <c:v>0.04</c:v>
                </c:pt>
                <c:pt idx="6">
                  <c:v>0.18</c:v>
                </c:pt>
                <c:pt idx="10">
                  <c:v>0.28000000000000003</c:v>
                </c:pt>
                <c:pt idx="11">
                  <c:v>0.67</c:v>
                </c:pt>
                <c:pt idx="12">
                  <c:v>0.1</c:v>
                </c:pt>
              </c:numCache>
            </c:numRef>
          </c:val>
        </c:ser>
        <c:ser>
          <c:idx val="7"/>
          <c:order val="7"/>
          <c:tx>
            <c:strRef>
              <c:f>AO_kraje!$A$10</c:f>
              <c:strCache>
                <c:ptCount val="1"/>
                <c:pt idx="0">
                  <c:v>Chemie a chemický průmysl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AO_kraje!$B$10:$N$10</c:f>
              <c:numCache>
                <c:formatCode>General</c:formatCode>
                <c:ptCount val="13"/>
                <c:pt idx="0">
                  <c:v>0.02</c:v>
                </c:pt>
                <c:pt idx="1">
                  <c:v>0.05</c:v>
                </c:pt>
                <c:pt idx="3">
                  <c:v>0.01</c:v>
                </c:pt>
                <c:pt idx="4">
                  <c:v>0.02</c:v>
                </c:pt>
                <c:pt idx="5">
                  <c:v>7.0000000000000007E-2</c:v>
                </c:pt>
                <c:pt idx="6">
                  <c:v>0.11</c:v>
                </c:pt>
                <c:pt idx="7">
                  <c:v>0.05</c:v>
                </c:pt>
                <c:pt idx="8">
                  <c:v>0.31</c:v>
                </c:pt>
                <c:pt idx="9">
                  <c:v>0.01</c:v>
                </c:pt>
                <c:pt idx="10">
                  <c:v>0.22</c:v>
                </c:pt>
                <c:pt idx="11">
                  <c:v>0.26</c:v>
                </c:pt>
                <c:pt idx="12">
                  <c:v>0.03</c:v>
                </c:pt>
              </c:numCache>
            </c:numRef>
          </c:val>
        </c:ser>
        <c:ser>
          <c:idx val="8"/>
          <c:order val="8"/>
          <c:tx>
            <c:strRef>
              <c:f>AO_kraje!$A$11</c:f>
              <c:strCache>
                <c:ptCount val="1"/>
                <c:pt idx="0">
                  <c:v>Léčiva, biotechnologie, prostředky zdrav. techniky, Life Sciences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AO_kraje!$B$11:$N$11</c:f>
              <c:numCache>
                <c:formatCode>General</c:formatCode>
                <c:ptCount val="13"/>
                <c:pt idx="0">
                  <c:v>0.01</c:v>
                </c:pt>
                <c:pt idx="1">
                  <c:v>0.16</c:v>
                </c:pt>
                <c:pt idx="3">
                  <c:v>0.01</c:v>
                </c:pt>
                <c:pt idx="4">
                  <c:v>0.21</c:v>
                </c:pt>
                <c:pt idx="5">
                  <c:v>0.03</c:v>
                </c:pt>
                <c:pt idx="6">
                  <c:v>0.02</c:v>
                </c:pt>
                <c:pt idx="7">
                  <c:v>0.01</c:v>
                </c:pt>
                <c:pt idx="8">
                  <c:v>0.21</c:v>
                </c:pt>
                <c:pt idx="9">
                  <c:v>0</c:v>
                </c:pt>
                <c:pt idx="10">
                  <c:v>0.32</c:v>
                </c:pt>
                <c:pt idx="11">
                  <c:v>0</c:v>
                </c:pt>
                <c:pt idx="12">
                  <c:v>0.06</c:v>
                </c:pt>
              </c:numCache>
            </c:numRef>
          </c:val>
        </c:ser>
        <c:ser>
          <c:idx val="9"/>
          <c:order val="9"/>
          <c:tx>
            <c:strRef>
              <c:f>AO_kraje!$A$12</c:f>
              <c:strCache>
                <c:ptCount val="1"/>
                <c:pt idx="0">
                  <c:v>Letecký a kosmický průmysl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AO_kraje!$B$12:$N$12</c:f>
              <c:numCache>
                <c:formatCode>General</c:formatCode>
                <c:ptCount val="13"/>
                <c:pt idx="0">
                  <c:v>0.01</c:v>
                </c:pt>
                <c:pt idx="1">
                  <c:v>0.01</c:v>
                </c:pt>
                <c:pt idx="3">
                  <c:v>0.04</c:v>
                </c:pt>
                <c:pt idx="4">
                  <c:v>0.12</c:v>
                </c:pt>
                <c:pt idx="6">
                  <c:v>0.02</c:v>
                </c:pt>
                <c:pt idx="8">
                  <c:v>0.01</c:v>
                </c:pt>
                <c:pt idx="10">
                  <c:v>0.6</c:v>
                </c:pt>
                <c:pt idx="12">
                  <c:v>0.03</c:v>
                </c:pt>
              </c:numCache>
            </c:numRef>
          </c:val>
        </c:ser>
        <c:ser>
          <c:idx val="10"/>
          <c:order val="10"/>
          <c:tx>
            <c:strRef>
              <c:f>AO_kraje!$A$13</c:f>
              <c:strCache>
                <c:ptCount val="1"/>
                <c:pt idx="0">
                  <c:v>Sklářství a keramika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AO_kraje!$B$13:$N$13</c:f>
              <c:numCache>
                <c:formatCode>General</c:formatCode>
                <c:ptCount val="13"/>
                <c:pt idx="0">
                  <c:v>0.06</c:v>
                </c:pt>
                <c:pt idx="1">
                  <c:v>0.37</c:v>
                </c:pt>
                <c:pt idx="2">
                  <c:v>0.05</c:v>
                </c:pt>
                <c:pt idx="3">
                  <c:v>0.05</c:v>
                </c:pt>
                <c:pt idx="4">
                  <c:v>0.09</c:v>
                </c:pt>
                <c:pt idx="5">
                  <c:v>7.0000000000000007E-2</c:v>
                </c:pt>
                <c:pt idx="6">
                  <c:v>0.06</c:v>
                </c:pt>
                <c:pt idx="7">
                  <c:v>0</c:v>
                </c:pt>
                <c:pt idx="8">
                  <c:v>0.01</c:v>
                </c:pt>
                <c:pt idx="9">
                  <c:v>0.04</c:v>
                </c:pt>
                <c:pt idx="10">
                  <c:v>0.05</c:v>
                </c:pt>
                <c:pt idx="11">
                  <c:v>0.09</c:v>
                </c:pt>
              </c:numCache>
            </c:numRef>
          </c:val>
        </c:ser>
        <c:ser>
          <c:idx val="11"/>
          <c:order val="11"/>
          <c:tx>
            <c:strRef>
              <c:f>AO_kraje!$A$14</c:f>
              <c:strCache>
                <c:ptCount val="1"/>
                <c:pt idx="0">
                  <c:v>Strojírenství – mechatronika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AO_kraje!$B$14:$N$14</c:f>
              <c:numCache>
                <c:formatCode>General</c:formatCode>
                <c:ptCount val="13"/>
                <c:pt idx="0">
                  <c:v>1.04</c:v>
                </c:pt>
                <c:pt idx="1">
                  <c:v>1.45</c:v>
                </c:pt>
                <c:pt idx="2">
                  <c:v>0.14000000000000001</c:v>
                </c:pt>
                <c:pt idx="3">
                  <c:v>0.97</c:v>
                </c:pt>
                <c:pt idx="4">
                  <c:v>0.33</c:v>
                </c:pt>
                <c:pt idx="5">
                  <c:v>0.31</c:v>
                </c:pt>
                <c:pt idx="6">
                  <c:v>0.76</c:v>
                </c:pt>
                <c:pt idx="7">
                  <c:v>0.95</c:v>
                </c:pt>
                <c:pt idx="8">
                  <c:v>0.56000000000000005</c:v>
                </c:pt>
                <c:pt idx="9">
                  <c:v>0.78</c:v>
                </c:pt>
                <c:pt idx="10">
                  <c:v>0.73</c:v>
                </c:pt>
                <c:pt idx="11">
                  <c:v>0.34</c:v>
                </c:pt>
                <c:pt idx="12">
                  <c:v>1.44</c:v>
                </c:pt>
              </c:numCache>
            </c:numRef>
          </c:val>
        </c:ser>
        <c:ser>
          <c:idx val="12"/>
          <c:order val="12"/>
          <c:tx>
            <c:strRef>
              <c:f>AO_kraje!$A$15</c:f>
              <c:strCache>
                <c:ptCount val="1"/>
                <c:pt idx="0">
                  <c:v>Textil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AO_kraje!$B$15:$N$15</c:f>
              <c:numCache>
                <c:formatCode>General</c:formatCode>
                <c:ptCount val="13"/>
                <c:pt idx="0">
                  <c:v>0.2</c:v>
                </c:pt>
                <c:pt idx="1">
                  <c:v>0.28000000000000003</c:v>
                </c:pt>
                <c:pt idx="2">
                  <c:v>0.03</c:v>
                </c:pt>
                <c:pt idx="3">
                  <c:v>0.02</c:v>
                </c:pt>
                <c:pt idx="4">
                  <c:v>0.48</c:v>
                </c:pt>
                <c:pt idx="5">
                  <c:v>0.2</c:v>
                </c:pt>
                <c:pt idx="6">
                  <c:v>0.01</c:v>
                </c:pt>
                <c:pt idx="7">
                  <c:v>0</c:v>
                </c:pt>
                <c:pt idx="8">
                  <c:v>0.11</c:v>
                </c:pt>
                <c:pt idx="10">
                  <c:v>0.05</c:v>
                </c:pt>
                <c:pt idx="11">
                  <c:v>0.03</c:v>
                </c:pt>
              </c:numCache>
            </c:numRef>
          </c:val>
        </c:ser>
        <c:ser>
          <c:idx val="13"/>
          <c:order val="13"/>
          <c:tx>
            <c:strRef>
              <c:f>AO_kraje!$A$16</c:f>
              <c:strCache>
                <c:ptCount val="1"/>
                <c:pt idx="0">
                  <c:v>Tradiční kulturní a kreativní průmysly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AO_kraje!$B$16:$N$16</c:f>
              <c:numCache>
                <c:formatCode>General</c:formatCode>
                <c:ptCount val="13"/>
                <c:pt idx="0">
                  <c:v>0.05</c:v>
                </c:pt>
                <c:pt idx="1">
                  <c:v>0.33</c:v>
                </c:pt>
                <c:pt idx="2">
                  <c:v>0.02</c:v>
                </c:pt>
                <c:pt idx="3">
                  <c:v>0.19</c:v>
                </c:pt>
                <c:pt idx="4">
                  <c:v>0.1</c:v>
                </c:pt>
                <c:pt idx="5">
                  <c:v>0.03</c:v>
                </c:pt>
                <c:pt idx="6">
                  <c:v>0.09</c:v>
                </c:pt>
                <c:pt idx="7">
                  <c:v>0.16</c:v>
                </c:pt>
                <c:pt idx="8">
                  <c:v>0.21</c:v>
                </c:pt>
                <c:pt idx="9">
                  <c:v>0.02</c:v>
                </c:pt>
                <c:pt idx="10">
                  <c:v>0.06</c:v>
                </c:pt>
                <c:pt idx="11">
                  <c:v>7.0000000000000007E-2</c:v>
                </c:pt>
                <c:pt idx="12">
                  <c:v>0.15</c:v>
                </c:pt>
              </c:numCache>
            </c:numRef>
          </c:val>
        </c:ser>
        <c:ser>
          <c:idx val="14"/>
          <c:order val="14"/>
          <c:tx>
            <c:strRef>
              <c:f>AO_kraje!$A$17</c:f>
              <c:strCache>
                <c:ptCount val="1"/>
                <c:pt idx="0">
                  <c:v>Udržitelná produkce potravin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AO_kraje!$B$17:$N$17</c:f>
              <c:numCache>
                <c:formatCode>General</c:formatCode>
                <c:ptCount val="13"/>
                <c:pt idx="0">
                  <c:v>0.02</c:v>
                </c:pt>
                <c:pt idx="1">
                  <c:v>0.11</c:v>
                </c:pt>
                <c:pt idx="2">
                  <c:v>0</c:v>
                </c:pt>
                <c:pt idx="3">
                  <c:v>0.02</c:v>
                </c:pt>
                <c:pt idx="4">
                  <c:v>0</c:v>
                </c:pt>
                <c:pt idx="5">
                  <c:v>0.01</c:v>
                </c:pt>
                <c:pt idx="6">
                  <c:v>0.26</c:v>
                </c:pt>
                <c:pt idx="7">
                  <c:v>0.01</c:v>
                </c:pt>
                <c:pt idx="8">
                  <c:v>0.11</c:v>
                </c:pt>
                <c:pt idx="9">
                  <c:v>0.02</c:v>
                </c:pt>
                <c:pt idx="10">
                  <c:v>0.43</c:v>
                </c:pt>
                <c:pt idx="11">
                  <c:v>0.01</c:v>
                </c:pt>
                <c:pt idx="12">
                  <c:v>0.13</c:v>
                </c:pt>
              </c:numCache>
            </c:numRef>
          </c:val>
        </c:ser>
        <c:ser>
          <c:idx val="15"/>
          <c:order val="15"/>
          <c:tx>
            <c:strRef>
              <c:f>AO_kraje!$A$18</c:f>
              <c:strCache>
                <c:ptCount val="1"/>
                <c:pt idx="0">
                  <c:v>Udržitelné hospodaření s přírodními zdroji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AO_kraje!$B$18:$N$18</c:f>
              <c:numCache>
                <c:formatCode>General</c:formatCode>
                <c:ptCount val="13"/>
                <c:pt idx="0">
                  <c:v>0.01</c:v>
                </c:pt>
                <c:pt idx="1">
                  <c:v>0.02</c:v>
                </c:pt>
                <c:pt idx="4">
                  <c:v>0</c:v>
                </c:pt>
                <c:pt idx="5">
                  <c:v>0</c:v>
                </c:pt>
                <c:pt idx="6">
                  <c:v>0.01</c:v>
                </c:pt>
                <c:pt idx="10">
                  <c:v>0.01</c:v>
                </c:pt>
                <c:pt idx="12">
                  <c:v>0.01</c:v>
                </c:pt>
              </c:numCache>
            </c:numRef>
          </c:val>
        </c:ser>
        <c:ser>
          <c:idx val="16"/>
          <c:order val="16"/>
          <c:tx>
            <c:strRef>
              <c:f>AO_kraje!$A$19</c:f>
              <c:strCache>
                <c:ptCount val="1"/>
                <c:pt idx="0">
                  <c:v>Udržitelné zemědělství a lesnictví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AO_kraje!$B$19:$N$19</c:f>
              <c:numCache>
                <c:formatCode>General</c:formatCode>
                <c:ptCount val="13"/>
                <c:pt idx="0">
                  <c:v>0</c:v>
                </c:pt>
                <c:pt idx="1">
                  <c:v>0.11</c:v>
                </c:pt>
                <c:pt idx="3">
                  <c:v>0.01</c:v>
                </c:pt>
                <c:pt idx="4">
                  <c:v>0</c:v>
                </c:pt>
                <c:pt idx="5">
                  <c:v>0</c:v>
                </c:pt>
                <c:pt idx="6">
                  <c:v>0.02</c:v>
                </c:pt>
                <c:pt idx="8">
                  <c:v>0.01</c:v>
                </c:pt>
                <c:pt idx="10">
                  <c:v>0.01</c:v>
                </c:pt>
                <c:pt idx="12">
                  <c:v>0.01</c:v>
                </c:pt>
              </c:numCache>
            </c:numRef>
          </c:val>
        </c:ser>
        <c:ser>
          <c:idx val="17"/>
          <c:order val="17"/>
          <c:tx>
            <c:strRef>
              <c:f>AO_kraje!$A$20</c:f>
              <c:strCache>
                <c:ptCount val="1"/>
                <c:pt idx="0">
                  <c:v>Zajištění zdravého a kvalitního životního prostředí a efektivní využívání přír. zdrojů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AO_kraje!$B$20:$N$20</c:f>
              <c:numCache>
                <c:formatCode>General</c:formatCode>
                <c:ptCount val="13"/>
                <c:pt idx="0">
                  <c:v>0.05</c:v>
                </c:pt>
                <c:pt idx="1">
                  <c:v>0.05</c:v>
                </c:pt>
                <c:pt idx="3">
                  <c:v>0</c:v>
                </c:pt>
                <c:pt idx="4">
                  <c:v>0.01</c:v>
                </c:pt>
                <c:pt idx="5">
                  <c:v>0.02</c:v>
                </c:pt>
                <c:pt idx="6">
                  <c:v>0.01</c:v>
                </c:pt>
                <c:pt idx="7">
                  <c:v>0.05</c:v>
                </c:pt>
                <c:pt idx="8">
                  <c:v>0.02</c:v>
                </c:pt>
                <c:pt idx="9">
                  <c:v>0</c:v>
                </c:pt>
                <c:pt idx="10">
                  <c:v>0.13</c:v>
                </c:pt>
                <c:pt idx="11">
                  <c:v>0.04</c:v>
                </c:pt>
                <c:pt idx="12">
                  <c:v>0.03</c:v>
                </c:pt>
              </c:numCache>
            </c:numRef>
          </c:val>
        </c:ser>
        <c:ser>
          <c:idx val="18"/>
          <c:order val="18"/>
          <c:tx>
            <c:strRef>
              <c:f>AO_kraje!$A$21</c:f>
              <c:strCache>
                <c:ptCount val="1"/>
                <c:pt idx="0">
                  <c:v>Železniční a kolejová vozidla</c:v>
                </c:pt>
              </c:strCache>
            </c:strRef>
          </c:tx>
          <c:invertIfNegative val="0"/>
          <c:cat>
            <c:strRef>
              <c:f>AO_kraje!$B$2:$N$2</c:f>
              <c:strCache>
                <c:ptCount val="13"/>
                <c:pt idx="0">
                  <c:v>Jihočeský kraj</c:v>
                </c:pt>
                <c:pt idx="1">
                  <c:v>Jihomoravský kraj</c:v>
                </c:pt>
                <c:pt idx="2">
                  <c:v>Karlovarský kraj</c:v>
                </c:pt>
                <c:pt idx="3">
                  <c:v>Kraj Vysočina</c:v>
                </c:pt>
                <c:pt idx="4">
                  <c:v>Královéhradecký kraj</c:v>
                </c:pt>
                <c:pt idx="5">
                  <c:v>Liberecký kraj</c:v>
                </c:pt>
                <c:pt idx="6">
                  <c:v>Moravskoslezský kraj</c:v>
                </c:pt>
                <c:pt idx="7">
                  <c:v>Olomoucký kraj</c:v>
                </c:pt>
                <c:pt idx="8">
                  <c:v>Pardubický kraj</c:v>
                </c:pt>
                <c:pt idx="9">
                  <c:v>Plzeňský kraj</c:v>
                </c:pt>
                <c:pt idx="10">
                  <c:v>Středočeský kraj</c:v>
                </c:pt>
                <c:pt idx="11">
                  <c:v>Ústecký kraj</c:v>
                </c:pt>
                <c:pt idx="12">
                  <c:v>Zlínský kraj</c:v>
                </c:pt>
              </c:strCache>
            </c:strRef>
          </c:cat>
          <c:val>
            <c:numRef>
              <c:f>AO_kraje!$B$21:$N$21</c:f>
              <c:numCache>
                <c:formatCode>General</c:formatCode>
                <c:ptCount val="13"/>
                <c:pt idx="7">
                  <c:v>0.12</c:v>
                </c:pt>
                <c:pt idx="10">
                  <c:v>0.01</c:v>
                </c:pt>
                <c:pt idx="1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838784"/>
        <c:axId val="184844672"/>
        <c:axId val="0"/>
      </c:bar3DChart>
      <c:catAx>
        <c:axId val="184838784"/>
        <c:scaling>
          <c:orientation val="maxMin"/>
        </c:scaling>
        <c:delete val="0"/>
        <c:axPos val="l"/>
        <c:majorTickMark val="out"/>
        <c:minorTickMark val="none"/>
        <c:tickLblPos val="nextTo"/>
        <c:crossAx val="184844672"/>
        <c:crosses val="autoZero"/>
        <c:auto val="1"/>
        <c:lblAlgn val="ctr"/>
        <c:lblOffset val="100"/>
        <c:noMultiLvlLbl val="0"/>
      </c:catAx>
      <c:valAx>
        <c:axId val="184844672"/>
        <c:scaling>
          <c:orientation val="minMax"/>
        </c:scaling>
        <c:delete val="0"/>
        <c:axPos val="t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v mld. Kč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4838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5294345028308959E-2"/>
          <c:y val="0.48690323018718129"/>
          <c:w val="0.92013685049674454"/>
          <c:h val="0.50425218894671142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pivotSource>
    <c:name>[OPPI_OPPIK_2007_10_2017.xlsx]vel_pod_a_AO!Kontingenční tabulka 3</c:name>
    <c:fmtId val="-1"/>
  </c:pivotSource>
  <c:chart>
    <c:title>
      <c:tx>
        <c:rich>
          <a:bodyPr/>
          <a:lstStyle/>
          <a:p>
            <a:pPr algn="l">
              <a:defRPr sz="1200"/>
            </a:pPr>
            <a:r>
              <a:rPr lang="cs-CZ" sz="1100"/>
              <a:t>Období:     2007-10.2017</a:t>
            </a:r>
          </a:p>
          <a:p>
            <a:pPr algn="l">
              <a:defRPr sz="1200"/>
            </a:pPr>
            <a:r>
              <a:rPr lang="cs-CZ" sz="1100"/>
              <a:t>(OP PI - čerpané finance</a:t>
            </a:r>
          </a:p>
          <a:p>
            <a:pPr algn="l">
              <a:defRPr sz="1200"/>
            </a:pPr>
            <a:r>
              <a:rPr lang="cs-CZ" sz="1100"/>
              <a:t>OP</a:t>
            </a:r>
            <a:r>
              <a:rPr lang="cs-CZ" sz="1100" baseline="0"/>
              <a:t> PIK - zazávazkované finance)</a:t>
            </a:r>
            <a:r>
              <a:rPr lang="cs-CZ" sz="1200"/>
              <a:t> </a:t>
            </a:r>
          </a:p>
          <a:p>
            <a:pPr algn="l">
              <a:defRPr sz="1200"/>
            </a:pPr>
            <a:endParaRPr lang="cs-CZ" sz="1200"/>
          </a:p>
        </c:rich>
      </c:tx>
      <c:layout>
        <c:manualLayout>
          <c:xMode val="edge"/>
          <c:yMode val="edge"/>
          <c:x val="2.0171379905998231E-2"/>
          <c:y val="1.3158515128880241E-2"/>
        </c:manualLayout>
      </c:layout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</c:pivotFmts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0086047313698819"/>
          <c:y val="0.1074438690307169"/>
          <c:w val="0.55537696773737777"/>
          <c:h val="0.798494184445034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vel_pod_a_AO!$B$3:$B$4</c:f>
              <c:strCache>
                <c:ptCount val="1"/>
                <c:pt idx="0">
                  <c:v>MSP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vel_pod_a_AO!$A$5:$A$24</c:f>
              <c:strCache>
                <c:ptCount val="19"/>
                <c:pt idx="0">
                  <c:v>Automotive</c:v>
                </c:pt>
                <c:pt idx="1">
                  <c:v>Bezpečnostní výzkum; Výzkum ve zdravotnictví</c:v>
                </c:pt>
                <c:pt idx="2">
                  <c:v>Digitální ekonomika a digitální obsah</c:v>
                </c:pt>
                <c:pt idx="3">
                  <c:v>Elektronika a elektrotechnika</c:v>
                </c:pt>
                <c:pt idx="4">
                  <c:v>Energetika</c:v>
                </c:pt>
                <c:pt idx="5">
                  <c:v>Gumárenství a plastikářství</c:v>
                </c:pt>
                <c:pt idx="6">
                  <c:v>Hutnictví</c:v>
                </c:pt>
                <c:pt idx="7">
                  <c:v>Chemie a chemický průmysl</c:v>
                </c:pt>
                <c:pt idx="8">
                  <c:v>Léčiva, biotechnologie, prostředky zdrav. techniky, Life Sciences</c:v>
                </c:pt>
                <c:pt idx="9">
                  <c:v>Letecký a kosmický průmysl </c:v>
                </c:pt>
                <c:pt idx="10">
                  <c:v>Sklářství a keramika</c:v>
                </c:pt>
                <c:pt idx="11">
                  <c:v>Strojírenství-mechatronika</c:v>
                </c:pt>
                <c:pt idx="12">
                  <c:v>Textil</c:v>
                </c:pt>
                <c:pt idx="13">
                  <c:v>Tradiční kulturní a kreativní průmysly</c:v>
                </c:pt>
                <c:pt idx="14">
                  <c:v>Udržitelná produkce potravin</c:v>
                </c:pt>
                <c:pt idx="15">
                  <c:v>Udržitelné hospodaření s přírodními zdroji</c:v>
                </c:pt>
                <c:pt idx="16">
                  <c:v>Udržitelné zemědělství a lesnictví</c:v>
                </c:pt>
                <c:pt idx="17">
                  <c:v>Zajištění zdravého a kvalitního životního prostředí a efektivní využívání přír. zdrojů</c:v>
                </c:pt>
                <c:pt idx="18">
                  <c:v>Železniční a kolejová vozidla</c:v>
                </c:pt>
              </c:strCache>
            </c:strRef>
          </c:cat>
          <c:val>
            <c:numRef>
              <c:f>vel_pod_a_AO!$B$5:$B$24</c:f>
              <c:numCache>
                <c:formatCode>0.#0,,,</c:formatCode>
                <c:ptCount val="19"/>
                <c:pt idx="0">
                  <c:v>1380688752</c:v>
                </c:pt>
                <c:pt idx="1">
                  <c:v>56042553</c:v>
                </c:pt>
                <c:pt idx="2">
                  <c:v>18192367080</c:v>
                </c:pt>
                <c:pt idx="3">
                  <c:v>8216659500.5</c:v>
                </c:pt>
                <c:pt idx="4">
                  <c:v>293087500</c:v>
                </c:pt>
                <c:pt idx="5">
                  <c:v>5075253366.3999996</c:v>
                </c:pt>
                <c:pt idx="6">
                  <c:v>1187661083</c:v>
                </c:pt>
                <c:pt idx="7">
                  <c:v>3348538716</c:v>
                </c:pt>
                <c:pt idx="8">
                  <c:v>2398917209</c:v>
                </c:pt>
                <c:pt idx="9">
                  <c:v>789972911</c:v>
                </c:pt>
                <c:pt idx="10">
                  <c:v>2819596130.9000001</c:v>
                </c:pt>
                <c:pt idx="11">
                  <c:v>21189688209.399998</c:v>
                </c:pt>
                <c:pt idx="12">
                  <c:v>1426922652</c:v>
                </c:pt>
                <c:pt idx="13">
                  <c:v>4846066618.8000002</c:v>
                </c:pt>
                <c:pt idx="14">
                  <c:v>1570545732</c:v>
                </c:pt>
                <c:pt idx="15">
                  <c:v>44926551</c:v>
                </c:pt>
                <c:pt idx="16">
                  <c:v>42525620</c:v>
                </c:pt>
                <c:pt idx="17">
                  <c:v>1391472479</c:v>
                </c:pt>
                <c:pt idx="18">
                  <c:v>77887500</c:v>
                </c:pt>
              </c:numCache>
            </c:numRef>
          </c:val>
        </c:ser>
        <c:ser>
          <c:idx val="1"/>
          <c:order val="1"/>
          <c:tx>
            <c:strRef>
              <c:f>vel_pod_a_AO!$C$3:$C$4</c:f>
              <c:strCache>
                <c:ptCount val="1"/>
                <c:pt idx="0">
                  <c:v>VP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vel_pod_a_AO!$A$5:$A$24</c:f>
              <c:strCache>
                <c:ptCount val="19"/>
                <c:pt idx="0">
                  <c:v>Automotive</c:v>
                </c:pt>
                <c:pt idx="1">
                  <c:v>Bezpečnostní výzkum; Výzkum ve zdravotnictví</c:v>
                </c:pt>
                <c:pt idx="2">
                  <c:v>Digitální ekonomika a digitální obsah</c:v>
                </c:pt>
                <c:pt idx="3">
                  <c:v>Elektronika a elektrotechnika</c:v>
                </c:pt>
                <c:pt idx="4">
                  <c:v>Energetika</c:v>
                </c:pt>
                <c:pt idx="5">
                  <c:v>Gumárenství a plastikářství</c:v>
                </c:pt>
                <c:pt idx="6">
                  <c:v>Hutnictví</c:v>
                </c:pt>
                <c:pt idx="7">
                  <c:v>Chemie a chemický průmysl</c:v>
                </c:pt>
                <c:pt idx="8">
                  <c:v>Léčiva, biotechnologie, prostředky zdrav. techniky, Life Sciences</c:v>
                </c:pt>
                <c:pt idx="9">
                  <c:v>Letecký a kosmický průmysl </c:v>
                </c:pt>
                <c:pt idx="10">
                  <c:v>Sklářství a keramika</c:v>
                </c:pt>
                <c:pt idx="11">
                  <c:v>Strojírenství-mechatronika</c:v>
                </c:pt>
                <c:pt idx="12">
                  <c:v>Textil</c:v>
                </c:pt>
                <c:pt idx="13">
                  <c:v>Tradiční kulturní a kreativní průmysly</c:v>
                </c:pt>
                <c:pt idx="14">
                  <c:v>Udržitelná produkce potravin</c:v>
                </c:pt>
                <c:pt idx="15">
                  <c:v>Udržitelné hospodaření s přírodními zdroji</c:v>
                </c:pt>
                <c:pt idx="16">
                  <c:v>Udržitelné zemědělství a lesnictví</c:v>
                </c:pt>
                <c:pt idx="17">
                  <c:v>Zajištění zdravého a kvalitního životního prostředí a efektivní využívání přír. zdrojů</c:v>
                </c:pt>
                <c:pt idx="18">
                  <c:v>Železniční a kolejová vozidla</c:v>
                </c:pt>
              </c:strCache>
            </c:strRef>
          </c:cat>
          <c:val>
            <c:numRef>
              <c:f>vel_pod_a_AO!$C$5:$C$24</c:f>
              <c:numCache>
                <c:formatCode>General</c:formatCode>
                <c:ptCount val="19"/>
                <c:pt idx="0" formatCode="0.#0,,,">
                  <c:v>9358075736</c:v>
                </c:pt>
                <c:pt idx="2" formatCode="0.#0,,,">
                  <c:v>10961532117</c:v>
                </c:pt>
                <c:pt idx="3" formatCode="0.#0,,,">
                  <c:v>7688212343</c:v>
                </c:pt>
                <c:pt idx="4" formatCode="0.#0,,,">
                  <c:v>73220174</c:v>
                </c:pt>
                <c:pt idx="5" formatCode="0.#0,,,">
                  <c:v>2904830270</c:v>
                </c:pt>
                <c:pt idx="6" formatCode="0.#0,,,">
                  <c:v>2564182180</c:v>
                </c:pt>
                <c:pt idx="7" formatCode="0.#0,,,">
                  <c:v>1965701813</c:v>
                </c:pt>
                <c:pt idx="8" formatCode="0.#0,,,">
                  <c:v>1350440136</c:v>
                </c:pt>
                <c:pt idx="9" formatCode="0.#0,,,">
                  <c:v>1823956500</c:v>
                </c:pt>
                <c:pt idx="10" formatCode="0.#0,,,">
                  <c:v>2481327564</c:v>
                </c:pt>
                <c:pt idx="11" formatCode="0.#0,,,">
                  <c:v>19869079648</c:v>
                </c:pt>
                <c:pt idx="12" formatCode="0.#0,,,">
                  <c:v>2874087206</c:v>
                </c:pt>
                <c:pt idx="13" formatCode="0.#0,,,">
                  <c:v>2307448158</c:v>
                </c:pt>
                <c:pt idx="14" formatCode="0.#0,,,">
                  <c:v>1428700000</c:v>
                </c:pt>
                <c:pt idx="16" formatCode="0.#0,,,">
                  <c:v>86423480</c:v>
                </c:pt>
                <c:pt idx="17" formatCode="0.#0,,,">
                  <c:v>166444206</c:v>
                </c:pt>
                <c:pt idx="18" formatCode="0.#0,,,">
                  <c:v>778133000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871552"/>
        <c:axId val="184873344"/>
        <c:axId val="0"/>
      </c:bar3DChart>
      <c:catAx>
        <c:axId val="184871552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84873344"/>
        <c:crosses val="autoZero"/>
        <c:auto val="1"/>
        <c:lblAlgn val="ctr"/>
        <c:lblOffset val="100"/>
        <c:noMultiLvlLbl val="0"/>
      </c:catAx>
      <c:valAx>
        <c:axId val="184873344"/>
        <c:scaling>
          <c:orientation val="minMax"/>
          <c:max val="2500000000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cs-CZ" sz="800"/>
                  <a:t>v mld. Kč</a:t>
                </a:r>
              </a:p>
            </c:rich>
          </c:tx>
          <c:layout>
            <c:manualLayout>
              <c:xMode val="edge"/>
              <c:yMode val="edge"/>
              <c:x val="0.66042797174157875"/>
              <c:y val="0.89753679545178178"/>
            </c:manualLayout>
          </c:layout>
          <c:overlay val="0"/>
        </c:title>
        <c:numFmt formatCode="0.#0,,," sourceLinked="1"/>
        <c:majorTickMark val="cross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848715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3739598826573896"/>
          <c:y val="5.0781919884226694E-2"/>
          <c:w val="0.13519099368777249"/>
          <c:h val="2.849497854684332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EC69C3-F68F-4C33-BD45-EDA62562B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1805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Podpora Národní RIS3 strategie z OP PIK (2015 - 10.2017)</vt:lpstr>
    </vt:vector>
  </TitlesOfParts>
  <Company>Úřad vlády ČR</Company>
  <LinksUpToDate>false</LinksUpToDate>
  <CharactersWithSpaces>12432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Podpora Národní RIS3 strategie z OP PIK (2015 - 10.2017)</dc:title>
  <dc:creator>MANAGER REPORT</dc:creator>
  <cp:lastModifiedBy>Rosecká Lucie</cp:lastModifiedBy>
  <cp:revision>2</cp:revision>
  <cp:lastPrinted>2017-12-08T09:54:00Z</cp:lastPrinted>
  <dcterms:created xsi:type="dcterms:W3CDTF">2017-12-08T10:02:00Z</dcterms:created>
  <dcterms:modified xsi:type="dcterms:W3CDTF">2017-12-08T10:02:00Z</dcterms:modified>
</cp:coreProperties>
</file>